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36" w:rsidRDefault="005D3E36" w:rsidP="005D3E36">
      <w:pPr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37465</wp:posOffset>
            </wp:positionH>
            <wp:positionV relativeFrom="paragraph">
              <wp:posOffset>-774700</wp:posOffset>
            </wp:positionV>
            <wp:extent cx="1513205" cy="742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s cadr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" t="12008" r="5477" b="9927"/>
                    <a:stretch/>
                  </pic:blipFill>
                  <pic:spPr bwMode="auto">
                    <a:xfrm>
                      <a:off x="0" y="0"/>
                      <a:ext cx="151320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36" w:rsidRDefault="005D3E36" w:rsidP="005D3E36">
      <w:pPr>
        <w:jc w:val="right"/>
      </w:pPr>
      <w:r>
        <w:t>COMMUNIQUÉ DE PRESSE</w:t>
      </w:r>
      <w:r>
        <w:br/>
        <w:t>Pour diffusion immédiate</w:t>
      </w:r>
    </w:p>
    <w:p w:rsidR="005073CC" w:rsidRDefault="00CF1D6B" w:rsidP="00CF1D6B">
      <w:pPr>
        <w:jc w:val="center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  <w:r w:rsidRPr="00CF1D6B">
        <w:rPr>
          <w:rFonts w:ascii="Arial" w:eastAsia="Times New Roman" w:hAnsi="Arial" w:cs="Arial"/>
          <w:b/>
          <w:bCs/>
          <w:color w:val="222222"/>
          <w:sz w:val="24"/>
          <w:szCs w:val="28"/>
          <w:lang w:eastAsia="fr-CA"/>
        </w:rPr>
        <w:t xml:space="preserve">La MRC d’Argenteuil appuie la position de la municipalité </w:t>
      </w:r>
      <w:r>
        <w:rPr>
          <w:rFonts w:ascii="Arial" w:eastAsia="Times New Roman" w:hAnsi="Arial" w:cs="Arial"/>
          <w:b/>
          <w:bCs/>
          <w:color w:val="222222"/>
          <w:sz w:val="24"/>
          <w:szCs w:val="28"/>
          <w:lang w:eastAsia="fr-CA"/>
        </w:rPr>
        <w:br/>
      </w:r>
      <w:r w:rsidRPr="00CF1D6B">
        <w:rPr>
          <w:rFonts w:ascii="Arial" w:eastAsia="Times New Roman" w:hAnsi="Arial" w:cs="Arial"/>
          <w:b/>
          <w:bCs/>
          <w:color w:val="222222"/>
          <w:sz w:val="24"/>
          <w:szCs w:val="28"/>
          <w:lang w:eastAsia="fr-CA"/>
        </w:rPr>
        <w:t xml:space="preserve">dans le dossier du projet de Canada Carbon </w:t>
      </w:r>
      <w:r w:rsidRPr="00CF1D6B">
        <w:rPr>
          <w:rFonts w:ascii="Arial" w:eastAsia="Times New Roman" w:hAnsi="Arial" w:cs="Arial"/>
          <w:b/>
          <w:bCs/>
          <w:color w:val="222222"/>
          <w:sz w:val="24"/>
          <w:szCs w:val="28"/>
          <w:lang w:eastAsia="fr-CA"/>
        </w:rPr>
        <w:br/>
      </w:r>
    </w:p>
    <w:p w:rsidR="002249C8" w:rsidRPr="001F587D" w:rsidRDefault="002249C8" w:rsidP="001F587D">
      <w:pPr>
        <w:jc w:val="both"/>
        <w:rPr>
          <w:rFonts w:ascii="Arial" w:eastAsia="Times New Roman" w:hAnsi="Arial" w:cs="Arial"/>
          <w:i/>
          <w:color w:val="222222"/>
          <w:sz w:val="24"/>
          <w:szCs w:val="20"/>
          <w:lang w:eastAsia="fr-CA"/>
        </w:rPr>
      </w:pPr>
      <w:r w:rsidRPr="001F587D">
        <w:rPr>
          <w:rFonts w:ascii="Arial" w:eastAsia="Times New Roman" w:hAnsi="Arial" w:cs="Arial"/>
          <w:i/>
          <w:color w:val="222222"/>
          <w:sz w:val="24"/>
          <w:szCs w:val="20"/>
          <w:lang w:eastAsia="fr-CA"/>
        </w:rPr>
        <w:t xml:space="preserve">La municipalité de Grenville-sur-la-Rouge et la MRC d’Argenteuil demandent à Canada Carbon d’autoriser l’accès au site pour compléter </w:t>
      </w:r>
      <w:r w:rsidR="001F587D">
        <w:rPr>
          <w:rFonts w:ascii="Arial" w:eastAsia="Times New Roman" w:hAnsi="Arial" w:cs="Arial"/>
          <w:i/>
          <w:color w:val="222222"/>
          <w:sz w:val="24"/>
          <w:szCs w:val="20"/>
          <w:lang w:eastAsia="fr-CA"/>
        </w:rPr>
        <w:t>les études en cours, et demandent</w:t>
      </w:r>
      <w:r w:rsidRPr="001F587D">
        <w:rPr>
          <w:rFonts w:ascii="Arial" w:eastAsia="Times New Roman" w:hAnsi="Arial" w:cs="Arial"/>
          <w:i/>
          <w:color w:val="222222"/>
          <w:sz w:val="24"/>
          <w:szCs w:val="20"/>
          <w:lang w:eastAsia="fr-CA"/>
        </w:rPr>
        <w:t xml:space="preserve"> à la CPTAQ de suspendre le dossier </w:t>
      </w:r>
      <w:r w:rsidR="00F45177">
        <w:rPr>
          <w:rFonts w:ascii="Arial" w:eastAsia="Times New Roman" w:hAnsi="Arial" w:cs="Arial"/>
          <w:i/>
          <w:color w:val="222222"/>
          <w:sz w:val="24"/>
          <w:szCs w:val="20"/>
          <w:lang w:eastAsia="fr-CA"/>
        </w:rPr>
        <w:t xml:space="preserve">de Canada Carbon </w:t>
      </w:r>
      <w:r w:rsidRPr="001F587D">
        <w:rPr>
          <w:rFonts w:ascii="Arial" w:eastAsia="Times New Roman" w:hAnsi="Arial" w:cs="Arial"/>
          <w:i/>
          <w:color w:val="222222"/>
          <w:sz w:val="24"/>
          <w:szCs w:val="20"/>
          <w:lang w:eastAsia="fr-CA"/>
        </w:rPr>
        <w:t>et de reporter la tenue des rencontres publiques.</w:t>
      </w:r>
    </w:p>
    <w:p w:rsidR="00CF1D6B" w:rsidRDefault="00CF1D6B" w:rsidP="00CF1D6B">
      <w:pPr>
        <w:jc w:val="both"/>
      </w:pPr>
      <w:r>
        <w:rPr>
          <w:b/>
        </w:rPr>
        <w:t>Grenville-sur-la-Rouge, le 12</w:t>
      </w:r>
      <w:r w:rsidRPr="00A72CD2">
        <w:rPr>
          <w:b/>
        </w:rPr>
        <w:t xml:space="preserve"> </w:t>
      </w:r>
      <w:r>
        <w:rPr>
          <w:b/>
        </w:rPr>
        <w:t>mars</w:t>
      </w:r>
      <w:r w:rsidRPr="00A72CD2">
        <w:rPr>
          <w:b/>
        </w:rPr>
        <w:t xml:space="preserve"> 2021</w:t>
      </w:r>
      <w:r>
        <w:t xml:space="preserve"> – Par voie de résolutions, la municipalité de Grenville-sur-la-Rouge et la MRC d’Argenteuil demandent à la compagnie Canada Carbon de donner accès au site du projet Miller aux experts mandatés par la municipalité. Elles demandent également à la Commission de Protection du Territoire Agricole (CPTAQ) de suspendre le dossier </w:t>
      </w:r>
      <w:r w:rsidR="00F45177">
        <w:t xml:space="preserve">de Canada Carbon </w:t>
      </w:r>
      <w:r>
        <w:t>et de reporter la tenue des re</w:t>
      </w:r>
      <w:r w:rsidR="007D5247">
        <w:t>ncontres publiques tant que l</w:t>
      </w:r>
      <w:r>
        <w:t>es études</w:t>
      </w:r>
      <w:r w:rsidR="00235627">
        <w:t xml:space="preserve"> de ceux-ci</w:t>
      </w:r>
      <w:r>
        <w:t xml:space="preserve"> n’auront pas été complétées.</w:t>
      </w:r>
    </w:p>
    <w:p w:rsidR="00CF1D6B" w:rsidRDefault="00CF1D6B" w:rsidP="00CF1D6B">
      <w:pPr>
        <w:jc w:val="both"/>
      </w:pPr>
      <w:r>
        <w:t xml:space="preserve">La compagnie d’exploration minière Canada Carbon veut exploiter une carrière de marbre et une mine de graphite sur le territoire de la municipalité de Grenville-sur-la-Rouge. Dès que le projet a été connu publiquement, les citoyens ont rapidement manifesté leur inquiétude face à ce projet qui pourrait menacer la qualité </w:t>
      </w:r>
      <w:r w:rsidR="00F45177">
        <w:t xml:space="preserve">de vie et </w:t>
      </w:r>
      <w:r>
        <w:t>de l’environnement.</w:t>
      </w:r>
    </w:p>
    <w:p w:rsidR="00CF1D6B" w:rsidRDefault="00CF1D6B" w:rsidP="00CF1D6B">
      <w:pPr>
        <w:jc w:val="both"/>
      </w:pPr>
      <w:r>
        <w:t>Le projet est actuellement devant la CPTAQ, qui doit statuer sur la demande de</w:t>
      </w:r>
      <w:r w:rsidR="003506EC">
        <w:t xml:space="preserve"> Canada Carbon</w:t>
      </w:r>
      <w:r>
        <w:t xml:space="preserve"> pour permettre un </w:t>
      </w:r>
      <w:r w:rsidR="003A44EC">
        <w:t>usage autre qu’</w:t>
      </w:r>
      <w:r>
        <w:t>agricole. Par la suite, advenant le maintien de l’orientation préliminaire favorable, ce projet devra poursuivre différentes étapes, notamment des études d’impact environnemental et social, ainsi que des audiences publiques du BAPE.</w:t>
      </w:r>
    </w:p>
    <w:p w:rsidR="00CF1D6B" w:rsidRDefault="00BA747F" w:rsidP="00CF1D6B">
      <w:pPr>
        <w:jc w:val="both"/>
      </w:pPr>
      <w:r>
        <w:t xml:space="preserve">La municipalité assume ses responsabilités pour la protection des citoyens, de leur environnement et de ses infrastructures. </w:t>
      </w:r>
      <w:r w:rsidR="00CF1D6B">
        <w:t xml:space="preserve">En juin 2020, </w:t>
      </w:r>
      <w:r>
        <w:t>elle</w:t>
      </w:r>
      <w:r w:rsidR="00CF1D6B">
        <w:t xml:space="preserve"> a mandaté un ingénieur forestier, un hydrogéologue et un agronome afin de passer en revue la documentation fournie par </w:t>
      </w:r>
      <w:r w:rsidR="003A44EC">
        <w:t>Canada Carbon</w:t>
      </w:r>
      <w:r w:rsidR="00CF1D6B">
        <w:t xml:space="preserve"> à la CPTAQ. Cette initiative municipale est alignée avec la résolution 17-02-068 de la MRC d’Argenteuil, qui en février 2017, demandait que des études indépendantes et additionnelles soient conduites au frais du promoteur</w:t>
      </w:r>
      <w:r w:rsidR="003A44EC">
        <w:t>. La municipalité a demandé à Canada Carbon de rembourser</w:t>
      </w:r>
      <w:r w:rsidR="003506EC">
        <w:t xml:space="preserve"> les frais encourus</w:t>
      </w:r>
      <w:r w:rsidR="003A44EC">
        <w:t>, ce qu</w:t>
      </w:r>
      <w:r w:rsidR="00F45177">
        <w:t>e la compagnie</w:t>
      </w:r>
      <w:r w:rsidR="003A44EC">
        <w:t xml:space="preserve"> a refusé</w:t>
      </w:r>
      <w:r w:rsidR="00F45177">
        <w:t xml:space="preserve"> à date</w:t>
      </w:r>
      <w:r w:rsidR="003A44EC">
        <w:t>.</w:t>
      </w:r>
    </w:p>
    <w:p w:rsidR="00CF1D6B" w:rsidRDefault="00CF1D6B" w:rsidP="00CF1D6B">
      <w:pPr>
        <w:jc w:val="both"/>
      </w:pPr>
      <w:r>
        <w:t xml:space="preserve">Les observations préliminaires des experts ont révélé </w:t>
      </w:r>
      <w:r w:rsidR="008D2E61">
        <w:t>plusieurs anomalies qui ont amené la municipalité à décider d’effectuer</w:t>
      </w:r>
      <w:r>
        <w:t xml:space="preserve"> des analyses additionne</w:t>
      </w:r>
      <w:r w:rsidR="008D2E61">
        <w:t>lles et plus approfondies</w:t>
      </w:r>
      <w:r>
        <w:t>, et que des prélèvements</w:t>
      </w:r>
      <w:r w:rsidRPr="00F45177">
        <w:t xml:space="preserve"> </w:t>
      </w:r>
      <w:r w:rsidR="00F45177" w:rsidRPr="00F45177">
        <w:t>sur place</w:t>
      </w:r>
      <w:r>
        <w:t xml:space="preserve"> sont nécessaires. Toutefois, à l’automne dernier, </w:t>
      </w:r>
      <w:r w:rsidR="003506EC">
        <w:t>Canada Carbon</w:t>
      </w:r>
      <w:r>
        <w:t xml:space="preserve"> a refusé à la municipalité l’accès au site du projet, malgré l’engagement de coopération des parties intervenu lors d’une entente conclue en février 2020.</w:t>
      </w:r>
    </w:p>
    <w:p w:rsidR="00CF1D6B" w:rsidRDefault="003A44EC" w:rsidP="003A44EC">
      <w:pPr>
        <w:jc w:val="both"/>
      </w:pPr>
      <w:r>
        <w:t>Après avoir pris connaissance des études de la municipalité, les membres de la table des maires de la MRC</w:t>
      </w:r>
      <w:r w:rsidR="00CF1D6B">
        <w:t xml:space="preserve"> ont demandé au comité consultatif agricole (CCA) </w:t>
      </w:r>
      <w:r>
        <w:t xml:space="preserve">de se pencher à nouveau sur le dossier et </w:t>
      </w:r>
      <w:r w:rsidR="00CF1D6B">
        <w:t xml:space="preserve">de </w:t>
      </w:r>
      <w:r>
        <w:t xml:space="preserve">leur </w:t>
      </w:r>
      <w:r w:rsidR="00CF1D6B">
        <w:t xml:space="preserve">soumettre un nouvel avis </w:t>
      </w:r>
      <w:r w:rsidR="003506EC">
        <w:t>tenant compte d</w:t>
      </w:r>
      <w:r>
        <w:t>es</w:t>
      </w:r>
      <w:r w:rsidR="00CF1D6B">
        <w:t xml:space="preserve"> études </w:t>
      </w:r>
      <w:r w:rsidR="003506EC">
        <w:t>de la municipalité</w:t>
      </w:r>
      <w:r w:rsidR="00CF1D6B">
        <w:t>.</w:t>
      </w:r>
      <w:r>
        <w:t xml:space="preserve"> </w:t>
      </w:r>
    </w:p>
    <w:p w:rsidR="005073CC" w:rsidRPr="003C250B" w:rsidRDefault="005073CC" w:rsidP="005073CC">
      <w:pPr>
        <w:jc w:val="center"/>
        <w:rPr>
          <w:rFonts w:cstheme="minorHAnsi"/>
          <w:color w:val="222222"/>
          <w:sz w:val="20"/>
          <w:szCs w:val="20"/>
        </w:rPr>
      </w:pPr>
      <w:r w:rsidRPr="003C250B">
        <w:rPr>
          <w:rFonts w:cstheme="minorHAnsi"/>
          <w:color w:val="222222"/>
          <w:sz w:val="20"/>
          <w:szCs w:val="20"/>
        </w:rPr>
        <w:t>-30-</w:t>
      </w:r>
    </w:p>
    <w:p w:rsidR="005E1E95" w:rsidRPr="005D63F2" w:rsidRDefault="005E1E95" w:rsidP="005D63F2">
      <w:pPr>
        <w:rPr>
          <w:rFonts w:cstheme="minorHAnsi"/>
          <w:sz w:val="20"/>
          <w:lang w:val="en-CA"/>
        </w:rPr>
      </w:pPr>
      <w:bookmarkStart w:id="0" w:name="_GoBack"/>
      <w:bookmarkEnd w:id="0"/>
    </w:p>
    <w:sectPr w:rsidR="005E1E95" w:rsidRPr="005D63F2" w:rsidSect="002D0386">
      <w:pgSz w:w="12240" w:h="20160" w:code="5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079"/>
    <w:multiLevelType w:val="hybridMultilevel"/>
    <w:tmpl w:val="1F9C0564"/>
    <w:lvl w:ilvl="0" w:tplc="2E340DA6">
      <w:numFmt w:val="bullet"/>
      <w:lvlText w:val=""/>
      <w:lvlJc w:val="left"/>
      <w:pPr>
        <w:ind w:left="830" w:hanging="405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EE63400"/>
    <w:multiLevelType w:val="hybridMultilevel"/>
    <w:tmpl w:val="5A644B8C"/>
    <w:lvl w:ilvl="0" w:tplc="6C963A3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73F06"/>
    <w:multiLevelType w:val="hybridMultilevel"/>
    <w:tmpl w:val="2A1A8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95FF4"/>
    <w:multiLevelType w:val="hybridMultilevel"/>
    <w:tmpl w:val="BDDA06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53BB4"/>
    <w:multiLevelType w:val="hybridMultilevel"/>
    <w:tmpl w:val="647A2830"/>
    <w:lvl w:ilvl="0" w:tplc="E8AA7D10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52"/>
    <w:rsid w:val="000015E9"/>
    <w:rsid w:val="00001CF1"/>
    <w:rsid w:val="00036920"/>
    <w:rsid w:val="00036E7D"/>
    <w:rsid w:val="0007440B"/>
    <w:rsid w:val="00075BFC"/>
    <w:rsid w:val="00084CE3"/>
    <w:rsid w:val="00107413"/>
    <w:rsid w:val="00107A89"/>
    <w:rsid w:val="00111DD9"/>
    <w:rsid w:val="001219D5"/>
    <w:rsid w:val="00126518"/>
    <w:rsid w:val="00165359"/>
    <w:rsid w:val="00174465"/>
    <w:rsid w:val="001F587D"/>
    <w:rsid w:val="002249C8"/>
    <w:rsid w:val="0023249C"/>
    <w:rsid w:val="00235627"/>
    <w:rsid w:val="00243862"/>
    <w:rsid w:val="002A054C"/>
    <w:rsid w:val="002D0386"/>
    <w:rsid w:val="002E16CC"/>
    <w:rsid w:val="002E33B5"/>
    <w:rsid w:val="002E4829"/>
    <w:rsid w:val="0031499B"/>
    <w:rsid w:val="00315332"/>
    <w:rsid w:val="00336BFE"/>
    <w:rsid w:val="003506EC"/>
    <w:rsid w:val="0039793E"/>
    <w:rsid w:val="003A0F6A"/>
    <w:rsid w:val="003A44EC"/>
    <w:rsid w:val="003C250B"/>
    <w:rsid w:val="00432B1D"/>
    <w:rsid w:val="0047317F"/>
    <w:rsid w:val="004804DE"/>
    <w:rsid w:val="004A63F3"/>
    <w:rsid w:val="004A6425"/>
    <w:rsid w:val="004B038C"/>
    <w:rsid w:val="004E4687"/>
    <w:rsid w:val="00501A32"/>
    <w:rsid w:val="005073CC"/>
    <w:rsid w:val="005436A6"/>
    <w:rsid w:val="005447C4"/>
    <w:rsid w:val="00555105"/>
    <w:rsid w:val="005D3E36"/>
    <w:rsid w:val="005D63F2"/>
    <w:rsid w:val="005E1E95"/>
    <w:rsid w:val="00640038"/>
    <w:rsid w:val="0068197A"/>
    <w:rsid w:val="00684E2F"/>
    <w:rsid w:val="006A201F"/>
    <w:rsid w:val="006B79F1"/>
    <w:rsid w:val="006D20FA"/>
    <w:rsid w:val="006D545A"/>
    <w:rsid w:val="00701E9E"/>
    <w:rsid w:val="0071784F"/>
    <w:rsid w:val="007223C0"/>
    <w:rsid w:val="007C68E6"/>
    <w:rsid w:val="007D1DC1"/>
    <w:rsid w:val="007D5247"/>
    <w:rsid w:val="00803CAA"/>
    <w:rsid w:val="0081198D"/>
    <w:rsid w:val="00836D95"/>
    <w:rsid w:val="00841FD7"/>
    <w:rsid w:val="00844CC8"/>
    <w:rsid w:val="00885F52"/>
    <w:rsid w:val="00891AD8"/>
    <w:rsid w:val="0089692B"/>
    <w:rsid w:val="008A7493"/>
    <w:rsid w:val="008B47E9"/>
    <w:rsid w:val="008B7C09"/>
    <w:rsid w:val="008D2E61"/>
    <w:rsid w:val="00901354"/>
    <w:rsid w:val="009244B4"/>
    <w:rsid w:val="009422E2"/>
    <w:rsid w:val="00977F64"/>
    <w:rsid w:val="00996057"/>
    <w:rsid w:val="00A06CE4"/>
    <w:rsid w:val="00A11F5D"/>
    <w:rsid w:val="00A14C1A"/>
    <w:rsid w:val="00A603FB"/>
    <w:rsid w:val="00AA41BF"/>
    <w:rsid w:val="00AC338E"/>
    <w:rsid w:val="00AC57F9"/>
    <w:rsid w:val="00B0375D"/>
    <w:rsid w:val="00B13C02"/>
    <w:rsid w:val="00B16737"/>
    <w:rsid w:val="00B464F8"/>
    <w:rsid w:val="00B50CC8"/>
    <w:rsid w:val="00B77952"/>
    <w:rsid w:val="00BA747F"/>
    <w:rsid w:val="00BC111B"/>
    <w:rsid w:val="00BD0466"/>
    <w:rsid w:val="00C00362"/>
    <w:rsid w:val="00C15BE7"/>
    <w:rsid w:val="00C25A58"/>
    <w:rsid w:val="00CC5D37"/>
    <w:rsid w:val="00CD0D3A"/>
    <w:rsid w:val="00CE1AF4"/>
    <w:rsid w:val="00CE26A5"/>
    <w:rsid w:val="00CF1D6B"/>
    <w:rsid w:val="00CF7ABB"/>
    <w:rsid w:val="00D37F4D"/>
    <w:rsid w:val="00D42FA8"/>
    <w:rsid w:val="00D815F8"/>
    <w:rsid w:val="00D969F8"/>
    <w:rsid w:val="00DB7DC0"/>
    <w:rsid w:val="00DE0969"/>
    <w:rsid w:val="00DF70B3"/>
    <w:rsid w:val="00E72438"/>
    <w:rsid w:val="00EE3A1C"/>
    <w:rsid w:val="00EE41A1"/>
    <w:rsid w:val="00F04C83"/>
    <w:rsid w:val="00F05DEF"/>
    <w:rsid w:val="00F23B33"/>
    <w:rsid w:val="00F449F6"/>
    <w:rsid w:val="00F45177"/>
    <w:rsid w:val="00F54D73"/>
    <w:rsid w:val="00FA7057"/>
    <w:rsid w:val="00FD1D01"/>
    <w:rsid w:val="00FD4F20"/>
    <w:rsid w:val="00FE6297"/>
    <w:rsid w:val="00FE7FBB"/>
    <w:rsid w:val="00FF3766"/>
    <w:rsid w:val="00FF6F80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E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7F4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9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F54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E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7F4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9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F54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FB70-FA3C-44F3-9C01-9FA2182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Fillion</dc:creator>
  <cp:lastModifiedBy>Louise Poulin</cp:lastModifiedBy>
  <cp:revision>3</cp:revision>
  <cp:lastPrinted>2021-03-11T16:43:00Z</cp:lastPrinted>
  <dcterms:created xsi:type="dcterms:W3CDTF">2021-03-11T20:22:00Z</dcterms:created>
  <dcterms:modified xsi:type="dcterms:W3CDTF">2021-03-11T20:23:00Z</dcterms:modified>
</cp:coreProperties>
</file>