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85470" w14:textId="77777777" w:rsidR="00393E80" w:rsidRPr="000C5964" w:rsidRDefault="00393E80" w:rsidP="000C7A12">
      <w:pPr>
        <w:tabs>
          <w:tab w:val="right" w:pos="9356"/>
        </w:tabs>
        <w:spacing w:line="276" w:lineRule="auto"/>
        <w:rPr>
          <w:rFonts w:ascii="Calibri" w:hAnsi="Calibri" w:cs="Calibri"/>
        </w:rPr>
      </w:pPr>
      <w:r w:rsidRPr="000C5964">
        <w:rPr>
          <w:rFonts w:ascii="Calibri" w:hAnsi="Calibri" w:cs="Calibri"/>
        </w:rPr>
        <w:t>CANADA</w:t>
      </w:r>
    </w:p>
    <w:p w14:paraId="194C4A6B" w14:textId="03C534EC" w:rsidR="00393E80" w:rsidRPr="000C5964" w:rsidRDefault="00393E80" w:rsidP="000C7A12">
      <w:pPr>
        <w:spacing w:line="276" w:lineRule="auto"/>
        <w:rPr>
          <w:rFonts w:ascii="Calibri" w:hAnsi="Calibri" w:cs="Calibri"/>
        </w:rPr>
      </w:pPr>
      <w:r w:rsidRPr="000C5964">
        <w:rPr>
          <w:rFonts w:ascii="Calibri" w:hAnsi="Calibri" w:cs="Calibri"/>
        </w:rPr>
        <w:t xml:space="preserve">PROVINCE </w:t>
      </w:r>
      <w:r w:rsidR="005C45D7">
        <w:rPr>
          <w:rFonts w:ascii="Calibri" w:hAnsi="Calibri" w:cs="Calibri"/>
        </w:rPr>
        <w:t>OF</w:t>
      </w:r>
      <w:r w:rsidRPr="000C5964">
        <w:rPr>
          <w:rFonts w:ascii="Calibri" w:hAnsi="Calibri" w:cs="Calibri"/>
        </w:rPr>
        <w:t xml:space="preserve"> QUÉBEC</w:t>
      </w:r>
    </w:p>
    <w:p w14:paraId="1ECFBCEC" w14:textId="0B631F45" w:rsidR="00393E80" w:rsidRPr="000C5964" w:rsidRDefault="00393E80" w:rsidP="000C7A12">
      <w:pPr>
        <w:spacing w:line="276" w:lineRule="auto"/>
        <w:rPr>
          <w:rFonts w:ascii="Calibri" w:hAnsi="Calibri" w:cs="Calibri"/>
        </w:rPr>
      </w:pPr>
      <w:r w:rsidRPr="000C5964">
        <w:rPr>
          <w:rFonts w:ascii="Calibri" w:hAnsi="Calibri" w:cs="Calibri"/>
        </w:rPr>
        <w:t>MUNICIPALIT</w:t>
      </w:r>
      <w:r w:rsidR="005C45D7">
        <w:rPr>
          <w:rFonts w:ascii="Calibri" w:hAnsi="Calibri" w:cs="Calibri"/>
        </w:rPr>
        <w:t>Y OF</w:t>
      </w:r>
      <w:r w:rsidRPr="000C5964">
        <w:rPr>
          <w:rFonts w:ascii="Calibri" w:hAnsi="Calibri" w:cs="Calibri"/>
        </w:rPr>
        <w:t xml:space="preserve"> GRENVILLE-SUR-LA-ROUGE</w:t>
      </w:r>
    </w:p>
    <w:p w14:paraId="3494E69C" w14:textId="77777777" w:rsidR="006D6E05" w:rsidRPr="000C5964" w:rsidRDefault="006D6E05" w:rsidP="000C7A12">
      <w:pPr>
        <w:pStyle w:val="Corpsdetexte"/>
        <w:spacing w:before="164" w:line="276" w:lineRule="auto"/>
        <w:rPr>
          <w:rFonts w:asciiTheme="minorHAnsi" w:hAnsiTheme="minorHAnsi" w:cstheme="minorHAnsi"/>
          <w:sz w:val="22"/>
          <w:szCs w:val="22"/>
        </w:rPr>
      </w:pPr>
    </w:p>
    <w:p w14:paraId="7E8A789F" w14:textId="5427BB63" w:rsidR="006D6E05" w:rsidRPr="005C45D7" w:rsidRDefault="005C45D7" w:rsidP="005C45D7">
      <w:pPr>
        <w:pStyle w:val="Corpsdetexte"/>
        <w:spacing w:line="276" w:lineRule="auto"/>
        <w:jc w:val="center"/>
        <w:rPr>
          <w:rFonts w:asciiTheme="minorHAnsi" w:hAnsiTheme="minorHAnsi" w:cstheme="minorHAnsi"/>
          <w:b/>
          <w:sz w:val="22"/>
          <w:szCs w:val="22"/>
          <w:lang w:val="en-CA"/>
        </w:rPr>
      </w:pPr>
      <w:r w:rsidRPr="005C45D7">
        <w:rPr>
          <w:rFonts w:asciiTheme="minorHAnsi" w:hAnsiTheme="minorHAnsi" w:cstheme="minorHAnsi"/>
          <w:b/>
          <w:bCs/>
          <w:sz w:val="22"/>
          <w:szCs w:val="22"/>
          <w:lang w:val="en-CA"/>
        </w:rPr>
        <w:t xml:space="preserve">TRANSFER DUTY RATE </w:t>
      </w:r>
      <w:r>
        <w:rPr>
          <w:rFonts w:asciiTheme="minorHAnsi" w:hAnsiTheme="minorHAnsi" w:cstheme="minorHAnsi"/>
          <w:b/>
          <w:bCs/>
          <w:sz w:val="22"/>
          <w:szCs w:val="22"/>
          <w:lang w:val="en-CA"/>
        </w:rPr>
        <w:t>BY-LAW</w:t>
      </w:r>
      <w:r w:rsidRPr="005C45D7">
        <w:rPr>
          <w:rFonts w:asciiTheme="minorHAnsi" w:hAnsiTheme="minorHAnsi" w:cstheme="minorHAnsi"/>
          <w:b/>
          <w:bCs/>
          <w:sz w:val="22"/>
          <w:szCs w:val="22"/>
          <w:lang w:val="en-CA"/>
        </w:rPr>
        <w:t xml:space="preserve"> 2024-208 (RA)</w:t>
      </w:r>
      <w:r>
        <w:rPr>
          <w:rFonts w:asciiTheme="minorHAnsi" w:hAnsiTheme="minorHAnsi" w:cstheme="minorHAnsi"/>
          <w:b/>
          <w:bCs/>
          <w:sz w:val="22"/>
          <w:szCs w:val="22"/>
          <w:lang w:val="en-CA"/>
        </w:rPr>
        <w:t xml:space="preserve"> </w:t>
      </w:r>
      <w:r w:rsidRPr="005C45D7">
        <w:rPr>
          <w:rFonts w:asciiTheme="minorHAnsi" w:hAnsiTheme="minorHAnsi" w:cstheme="minorHAnsi"/>
          <w:b/>
          <w:bCs/>
          <w:sz w:val="22"/>
          <w:szCs w:val="22"/>
          <w:lang w:val="en-CA"/>
        </w:rPr>
        <w:t>APPLICABLE TO TRANSFERS OVER $500,000</w:t>
      </w:r>
    </w:p>
    <w:p w14:paraId="2F945F74" w14:textId="77777777" w:rsidR="000C7A12" w:rsidRPr="005C45D7" w:rsidRDefault="000C7A12" w:rsidP="000C7A12">
      <w:pPr>
        <w:pStyle w:val="Corpsdetexte"/>
        <w:spacing w:line="276" w:lineRule="auto"/>
        <w:rPr>
          <w:rFonts w:asciiTheme="minorHAnsi" w:hAnsiTheme="minorHAnsi" w:cstheme="minorHAnsi"/>
          <w:b/>
          <w:sz w:val="22"/>
          <w:szCs w:val="22"/>
          <w:lang w:val="en-CA"/>
        </w:rPr>
      </w:pPr>
    </w:p>
    <w:p w14:paraId="21425F4E" w14:textId="4F60F2BC" w:rsidR="006D6E05" w:rsidRPr="00320DDA" w:rsidRDefault="00931E35" w:rsidP="0046261B">
      <w:pPr>
        <w:spacing w:line="264" w:lineRule="auto"/>
        <w:ind w:left="2268" w:right="113" w:hanging="2268"/>
        <w:jc w:val="both"/>
        <w:rPr>
          <w:rFonts w:asciiTheme="minorHAnsi" w:hAnsiTheme="minorHAnsi" w:cstheme="minorHAnsi"/>
          <w:lang w:val="en-CA"/>
        </w:rPr>
      </w:pPr>
      <w:r w:rsidRPr="00320DDA">
        <w:rPr>
          <w:rFonts w:asciiTheme="minorHAnsi" w:hAnsiTheme="minorHAnsi" w:cstheme="minorHAnsi"/>
          <w:b/>
          <w:lang w:val="en-CA"/>
        </w:rPr>
        <w:t>WHEREAS</w:t>
      </w:r>
      <w:r w:rsidR="003432E5" w:rsidRPr="00320DDA">
        <w:rPr>
          <w:rFonts w:asciiTheme="minorHAnsi" w:hAnsiTheme="minorHAnsi" w:cstheme="minorHAnsi"/>
          <w:b/>
          <w:lang w:val="en-CA"/>
        </w:rPr>
        <w:t xml:space="preserve"> </w:t>
      </w:r>
      <w:r w:rsidR="00A76848" w:rsidRPr="00320DDA">
        <w:rPr>
          <w:rFonts w:asciiTheme="minorHAnsi" w:hAnsiTheme="minorHAnsi" w:cstheme="minorHAnsi"/>
          <w:b/>
          <w:lang w:val="en-CA"/>
        </w:rPr>
        <w:tab/>
      </w:r>
      <w:r w:rsidRPr="00320DDA">
        <w:rPr>
          <w:rFonts w:asciiTheme="minorHAnsi" w:hAnsiTheme="minorHAnsi" w:cstheme="minorHAnsi"/>
          <w:bCs/>
          <w:lang w:val="en-CA"/>
        </w:rPr>
        <w:t xml:space="preserve">that under the Act respecting transfer of immovables (R.S.Q., c. D-15.1), the Municipality must collect a tax on the transfer of any immovable situated in its territory, calculated on the basis of the tax base established in accordance with the second paragraph of Article </w:t>
      </w:r>
      <w:proofErr w:type="gramStart"/>
      <w:r w:rsidRPr="00320DDA">
        <w:rPr>
          <w:rFonts w:asciiTheme="minorHAnsi" w:hAnsiTheme="minorHAnsi" w:cstheme="minorHAnsi"/>
          <w:bCs/>
          <w:lang w:val="en-CA"/>
        </w:rPr>
        <w:t>2;</w:t>
      </w:r>
      <w:r w:rsidR="003432E5" w:rsidRPr="00320DDA">
        <w:rPr>
          <w:rFonts w:asciiTheme="minorHAnsi" w:hAnsiTheme="minorHAnsi" w:cstheme="minorHAnsi"/>
          <w:lang w:val="en-CA"/>
        </w:rPr>
        <w:t>;</w:t>
      </w:r>
      <w:proofErr w:type="gramEnd"/>
    </w:p>
    <w:p w14:paraId="0A4EEA69" w14:textId="77777777" w:rsidR="006D6E05" w:rsidRPr="00320DDA" w:rsidRDefault="006D6E05" w:rsidP="0046261B">
      <w:pPr>
        <w:pStyle w:val="Corpsdetexte"/>
        <w:spacing w:line="264" w:lineRule="auto"/>
        <w:ind w:left="2268" w:hanging="2268"/>
        <w:jc w:val="both"/>
        <w:rPr>
          <w:rFonts w:asciiTheme="minorHAnsi" w:hAnsiTheme="minorHAnsi" w:cstheme="minorHAnsi"/>
          <w:sz w:val="22"/>
          <w:szCs w:val="22"/>
          <w:lang w:val="en-CA"/>
        </w:rPr>
      </w:pPr>
    </w:p>
    <w:p w14:paraId="209330F1" w14:textId="3EFF7898" w:rsidR="006D6E05" w:rsidRPr="00320DDA" w:rsidRDefault="00320DDA" w:rsidP="0046261B">
      <w:pPr>
        <w:pStyle w:val="Corpsdetexte"/>
        <w:spacing w:line="264" w:lineRule="auto"/>
        <w:ind w:left="2268" w:right="112" w:hanging="2268"/>
        <w:jc w:val="both"/>
        <w:rPr>
          <w:rFonts w:asciiTheme="minorHAnsi" w:hAnsiTheme="minorHAnsi" w:cstheme="minorHAnsi"/>
          <w:bCs/>
          <w:sz w:val="22"/>
          <w:szCs w:val="22"/>
          <w:lang w:val="en-CA"/>
        </w:rPr>
      </w:pPr>
      <w:r w:rsidRPr="00320DDA">
        <w:rPr>
          <w:rFonts w:asciiTheme="minorHAnsi" w:hAnsiTheme="minorHAnsi" w:cstheme="minorHAnsi"/>
          <w:b/>
          <w:sz w:val="22"/>
          <w:szCs w:val="22"/>
          <w:lang w:val="en-CA"/>
        </w:rPr>
        <w:t>WHEREAS</w:t>
      </w:r>
      <w:r w:rsidR="00A76848" w:rsidRPr="00320DDA">
        <w:rPr>
          <w:rFonts w:asciiTheme="minorHAnsi" w:hAnsiTheme="minorHAnsi" w:cstheme="minorHAnsi"/>
          <w:b/>
          <w:sz w:val="22"/>
          <w:szCs w:val="22"/>
          <w:lang w:val="en-CA"/>
        </w:rPr>
        <w:tab/>
      </w:r>
      <w:r w:rsidRPr="00320DDA">
        <w:rPr>
          <w:rFonts w:asciiTheme="minorHAnsi" w:hAnsiTheme="minorHAnsi" w:cstheme="minorHAnsi"/>
          <w:bCs/>
          <w:sz w:val="22"/>
          <w:szCs w:val="22"/>
          <w:lang w:val="en-CA"/>
        </w:rPr>
        <w:t>t</w:t>
      </w:r>
      <w:r w:rsidRPr="00320DDA">
        <w:rPr>
          <w:rFonts w:asciiTheme="minorHAnsi" w:hAnsiTheme="minorHAnsi" w:cstheme="minorHAnsi"/>
          <w:bCs/>
          <w:sz w:val="22"/>
          <w:szCs w:val="22"/>
          <w:lang w:val="en-CA"/>
        </w:rPr>
        <w:t xml:space="preserve">hat, under the same Act, the Municipality may by by-law fix a rate higher than that provided for in subparagraph 3 of the first paragraph for any portion of the tax base that exceeds </w:t>
      </w:r>
      <w:proofErr w:type="gramStart"/>
      <w:r w:rsidRPr="00320DDA">
        <w:rPr>
          <w:rFonts w:asciiTheme="minorHAnsi" w:hAnsiTheme="minorHAnsi" w:cstheme="minorHAnsi"/>
          <w:bCs/>
          <w:sz w:val="22"/>
          <w:szCs w:val="22"/>
          <w:lang w:val="en-CA"/>
        </w:rPr>
        <w:t>$500,000;</w:t>
      </w:r>
      <w:proofErr w:type="gramEnd"/>
    </w:p>
    <w:p w14:paraId="68535031" w14:textId="77777777" w:rsidR="00320DDA" w:rsidRPr="00320DDA" w:rsidRDefault="00320DDA" w:rsidP="0046261B">
      <w:pPr>
        <w:pStyle w:val="Corpsdetexte"/>
        <w:spacing w:line="264" w:lineRule="auto"/>
        <w:ind w:left="2268" w:right="112" w:hanging="2268"/>
        <w:jc w:val="both"/>
        <w:rPr>
          <w:rFonts w:asciiTheme="minorHAnsi" w:hAnsiTheme="minorHAnsi" w:cstheme="minorHAnsi"/>
          <w:sz w:val="22"/>
          <w:szCs w:val="22"/>
          <w:lang w:val="en-CA"/>
        </w:rPr>
      </w:pPr>
    </w:p>
    <w:p w14:paraId="6B3B53BB" w14:textId="77777777" w:rsidR="00FB7730" w:rsidRPr="00FB7730" w:rsidRDefault="00FB7730" w:rsidP="0046261B">
      <w:pPr>
        <w:spacing w:line="264" w:lineRule="auto"/>
        <w:ind w:left="2268" w:hanging="2268"/>
        <w:jc w:val="both"/>
        <w:rPr>
          <w:rFonts w:ascii="Calibri" w:hAnsi="Calibri" w:cs="Calibri"/>
          <w:lang w:val="en-CA"/>
        </w:rPr>
      </w:pPr>
      <w:r w:rsidRPr="00FB7730">
        <w:rPr>
          <w:rFonts w:ascii="Calibri" w:hAnsi="Calibri" w:cs="Calibri"/>
          <w:b/>
          <w:bCs/>
          <w:lang w:val="en-CA"/>
        </w:rPr>
        <w:t xml:space="preserve">WHEREAS </w:t>
      </w:r>
      <w:r w:rsidRPr="00FB7730">
        <w:rPr>
          <w:rFonts w:ascii="Calibri" w:hAnsi="Calibri" w:cs="Calibri"/>
          <w:b/>
          <w:bCs/>
          <w:lang w:val="en-CA"/>
        </w:rPr>
        <w:tab/>
      </w:r>
      <w:r w:rsidRPr="00FB7730">
        <w:rPr>
          <w:rFonts w:ascii="Calibri" w:hAnsi="Calibri" w:cs="Calibri"/>
          <w:lang w:val="en-CA"/>
        </w:rPr>
        <w:t xml:space="preserve">a notice of motion of this by-law was given at the regular meeting held on March 12, 2024, and that the draft by-law was tabled at that same </w:t>
      </w:r>
      <w:proofErr w:type="gramStart"/>
      <w:r w:rsidRPr="00FB7730">
        <w:rPr>
          <w:rFonts w:ascii="Calibri" w:hAnsi="Calibri" w:cs="Calibri"/>
          <w:lang w:val="en-CA"/>
        </w:rPr>
        <w:t>meeting;</w:t>
      </w:r>
      <w:proofErr w:type="gramEnd"/>
    </w:p>
    <w:p w14:paraId="5E08177B" w14:textId="77777777" w:rsidR="00FB7730" w:rsidRPr="00FB7730" w:rsidRDefault="00FB7730" w:rsidP="0046261B">
      <w:pPr>
        <w:spacing w:line="264" w:lineRule="auto"/>
        <w:ind w:left="2268" w:hanging="2268"/>
        <w:jc w:val="both"/>
        <w:rPr>
          <w:rFonts w:ascii="Calibri" w:hAnsi="Calibri" w:cs="Calibri"/>
          <w:lang w:val="en-CA"/>
        </w:rPr>
      </w:pPr>
    </w:p>
    <w:p w14:paraId="7779AEE9" w14:textId="77777777" w:rsidR="00FB7730" w:rsidRPr="00FB7730" w:rsidRDefault="00FB7730" w:rsidP="0046261B">
      <w:pPr>
        <w:spacing w:line="264" w:lineRule="auto"/>
        <w:ind w:left="2268" w:hanging="2268"/>
        <w:jc w:val="both"/>
        <w:rPr>
          <w:rFonts w:ascii="Calibri" w:hAnsi="Calibri" w:cs="Calibri"/>
          <w:b/>
          <w:bCs/>
          <w:lang w:val="en-CA"/>
        </w:rPr>
      </w:pPr>
      <w:r w:rsidRPr="00FB7730">
        <w:rPr>
          <w:rFonts w:ascii="Calibri" w:hAnsi="Calibri" w:cs="Calibri"/>
          <w:b/>
          <w:bCs/>
          <w:lang w:val="en-CA"/>
        </w:rPr>
        <w:t xml:space="preserve">WHEREAS </w:t>
      </w:r>
      <w:r w:rsidRPr="00FB7730">
        <w:rPr>
          <w:rFonts w:ascii="Calibri" w:hAnsi="Calibri" w:cs="Calibri"/>
          <w:b/>
          <w:bCs/>
          <w:lang w:val="en-CA"/>
        </w:rPr>
        <w:tab/>
      </w:r>
      <w:r w:rsidRPr="00FB7730">
        <w:rPr>
          <w:rFonts w:ascii="Calibri" w:hAnsi="Calibri" w:cs="Calibri"/>
          <w:lang w:val="en-CA"/>
        </w:rPr>
        <w:t>a copy of this by-law was given to the members of the municipal council in accordance with the Municipal Code of Quebec (RLRQ, c. C-27.1</w:t>
      </w:r>
      <w:proofErr w:type="gramStart"/>
      <w:r w:rsidRPr="00FB7730">
        <w:rPr>
          <w:rFonts w:ascii="Calibri" w:hAnsi="Calibri" w:cs="Calibri"/>
          <w:lang w:val="en-CA"/>
        </w:rPr>
        <w:t>);</w:t>
      </w:r>
      <w:proofErr w:type="gramEnd"/>
    </w:p>
    <w:p w14:paraId="123809B2" w14:textId="77777777" w:rsidR="00FB7730" w:rsidRPr="00FB7730" w:rsidRDefault="00FB7730" w:rsidP="0046261B">
      <w:pPr>
        <w:spacing w:line="264" w:lineRule="auto"/>
        <w:ind w:left="2268" w:hanging="2268"/>
        <w:jc w:val="both"/>
        <w:rPr>
          <w:rFonts w:ascii="Calibri" w:hAnsi="Calibri" w:cs="Calibri"/>
          <w:b/>
          <w:bCs/>
          <w:lang w:val="en-CA"/>
        </w:rPr>
      </w:pPr>
    </w:p>
    <w:p w14:paraId="0AD8BE9E" w14:textId="77777777" w:rsidR="00FB7730" w:rsidRPr="00FB7730" w:rsidRDefault="00FB7730" w:rsidP="0046261B">
      <w:pPr>
        <w:spacing w:line="264" w:lineRule="auto"/>
        <w:ind w:left="2268" w:hanging="2268"/>
        <w:jc w:val="both"/>
        <w:rPr>
          <w:rFonts w:ascii="Calibri" w:hAnsi="Calibri" w:cs="Calibri"/>
          <w:lang w:val="en-CA"/>
        </w:rPr>
      </w:pPr>
      <w:r w:rsidRPr="00FB7730">
        <w:rPr>
          <w:rFonts w:ascii="Calibri" w:hAnsi="Calibri" w:cs="Calibri"/>
          <w:b/>
          <w:bCs/>
          <w:lang w:val="en-CA"/>
        </w:rPr>
        <w:t xml:space="preserve">WHEREAS </w:t>
      </w:r>
      <w:r w:rsidRPr="00FB7730">
        <w:rPr>
          <w:rFonts w:ascii="Calibri" w:hAnsi="Calibri" w:cs="Calibri"/>
          <w:b/>
          <w:bCs/>
          <w:lang w:val="en-CA"/>
        </w:rPr>
        <w:tab/>
      </w:r>
      <w:r w:rsidRPr="00FB7730">
        <w:rPr>
          <w:rFonts w:ascii="Calibri" w:hAnsi="Calibri" w:cs="Calibri"/>
          <w:lang w:val="en-CA"/>
        </w:rPr>
        <w:t xml:space="preserve">a copy of the by-law is made available to the public for consultation at the start of the </w:t>
      </w:r>
      <w:proofErr w:type="gramStart"/>
      <w:r w:rsidRPr="00FB7730">
        <w:rPr>
          <w:rFonts w:ascii="Calibri" w:hAnsi="Calibri" w:cs="Calibri"/>
          <w:lang w:val="en-CA"/>
        </w:rPr>
        <w:t>meeting;</w:t>
      </w:r>
      <w:proofErr w:type="gramEnd"/>
    </w:p>
    <w:p w14:paraId="38157BC8" w14:textId="77777777" w:rsidR="00FB7730" w:rsidRPr="00FB7730" w:rsidRDefault="00FB7730" w:rsidP="0046261B">
      <w:pPr>
        <w:spacing w:line="264" w:lineRule="auto"/>
        <w:ind w:left="2268" w:hanging="2268"/>
        <w:jc w:val="both"/>
        <w:rPr>
          <w:rFonts w:ascii="Calibri" w:hAnsi="Calibri" w:cs="Calibri"/>
          <w:b/>
          <w:bCs/>
          <w:lang w:val="en-CA"/>
        </w:rPr>
      </w:pPr>
    </w:p>
    <w:p w14:paraId="2B3A6CF7" w14:textId="77777777" w:rsidR="00FB7730" w:rsidRPr="00FB7730" w:rsidRDefault="00FB7730" w:rsidP="0046261B">
      <w:pPr>
        <w:spacing w:line="264" w:lineRule="auto"/>
        <w:ind w:left="2268" w:hanging="2268"/>
        <w:jc w:val="both"/>
        <w:rPr>
          <w:rFonts w:ascii="Calibri" w:hAnsi="Calibri" w:cs="Calibri"/>
          <w:lang w:val="en-CA"/>
        </w:rPr>
      </w:pPr>
      <w:r w:rsidRPr="00FB7730">
        <w:rPr>
          <w:rFonts w:ascii="Calibri" w:hAnsi="Calibri" w:cs="Calibri"/>
          <w:b/>
          <w:bCs/>
          <w:lang w:val="en-CA"/>
        </w:rPr>
        <w:t xml:space="preserve">WHEREAS </w:t>
      </w:r>
      <w:r w:rsidRPr="00FB7730">
        <w:rPr>
          <w:rFonts w:ascii="Calibri" w:hAnsi="Calibri" w:cs="Calibri"/>
          <w:b/>
          <w:bCs/>
          <w:lang w:val="en-CA"/>
        </w:rPr>
        <w:tab/>
      </w:r>
      <w:r w:rsidRPr="00FB7730">
        <w:rPr>
          <w:rFonts w:ascii="Calibri" w:hAnsi="Calibri" w:cs="Calibri"/>
          <w:lang w:val="en-CA"/>
        </w:rPr>
        <w:t xml:space="preserve">the members of Council declare having read the said by-law and waive its </w:t>
      </w:r>
      <w:proofErr w:type="gramStart"/>
      <w:r w:rsidRPr="00FB7730">
        <w:rPr>
          <w:rFonts w:ascii="Calibri" w:hAnsi="Calibri" w:cs="Calibri"/>
          <w:lang w:val="en-CA"/>
        </w:rPr>
        <w:t>reading;</w:t>
      </w:r>
      <w:proofErr w:type="gramEnd"/>
    </w:p>
    <w:p w14:paraId="7B731A3E" w14:textId="77777777" w:rsidR="00FB7730" w:rsidRPr="00FB7730" w:rsidRDefault="00FB7730" w:rsidP="0046261B">
      <w:pPr>
        <w:spacing w:line="264" w:lineRule="auto"/>
        <w:ind w:left="2268" w:hanging="2268"/>
        <w:jc w:val="both"/>
        <w:rPr>
          <w:rFonts w:ascii="Calibri" w:hAnsi="Calibri" w:cs="Calibri"/>
          <w:b/>
          <w:bCs/>
          <w:lang w:val="en-CA"/>
        </w:rPr>
      </w:pPr>
    </w:p>
    <w:p w14:paraId="09C2A68D" w14:textId="615ECE1E" w:rsidR="00FB7730" w:rsidRPr="00FB7730" w:rsidRDefault="00FB7730" w:rsidP="0046261B">
      <w:pPr>
        <w:spacing w:line="264" w:lineRule="auto"/>
        <w:ind w:left="2268" w:hanging="2268"/>
        <w:jc w:val="both"/>
        <w:rPr>
          <w:rFonts w:ascii="Calibri" w:hAnsi="Calibri" w:cs="Calibri"/>
          <w:lang w:val="en-CA"/>
        </w:rPr>
      </w:pPr>
      <w:proofErr w:type="gramStart"/>
      <w:r w:rsidRPr="00FB7730">
        <w:rPr>
          <w:rFonts w:ascii="Calibri" w:hAnsi="Calibri" w:cs="Calibri"/>
          <w:b/>
          <w:bCs/>
          <w:lang w:val="en-CA"/>
        </w:rPr>
        <w:t>CONSEQUENTLY</w:t>
      </w:r>
      <w:proofErr w:type="gramEnd"/>
      <w:r w:rsidRPr="00FB7730">
        <w:rPr>
          <w:rFonts w:ascii="Calibri" w:hAnsi="Calibri" w:cs="Calibri"/>
          <w:b/>
          <w:bCs/>
          <w:lang w:val="en-CA"/>
        </w:rPr>
        <w:t xml:space="preserve"> </w:t>
      </w:r>
      <w:r w:rsidRPr="00FB7730">
        <w:rPr>
          <w:rFonts w:ascii="Calibri" w:hAnsi="Calibri" w:cs="Calibri"/>
          <w:b/>
          <w:bCs/>
          <w:lang w:val="en-CA"/>
        </w:rPr>
        <w:tab/>
      </w:r>
      <w:r w:rsidRPr="00FB7730">
        <w:rPr>
          <w:rFonts w:ascii="Calibri" w:hAnsi="Calibri" w:cs="Calibri"/>
          <w:lang w:val="en-CA"/>
        </w:rPr>
        <w:t xml:space="preserve">it is proposed by Councillor </w:t>
      </w:r>
      <w:r w:rsidRPr="00320DDA">
        <w:rPr>
          <w:rFonts w:ascii="Calibri" w:hAnsi="Calibri" w:cs="Calibri"/>
          <w:lang w:val="en-CA"/>
        </w:rPr>
        <w:t>Patrice Deslongchamps</w:t>
      </w:r>
      <w:r w:rsidRPr="00FB7730">
        <w:rPr>
          <w:rFonts w:ascii="Calibri" w:hAnsi="Calibri" w:cs="Calibri"/>
          <w:lang w:val="en-CA"/>
        </w:rPr>
        <w:t xml:space="preserve"> and resolved that this by-law be adopted and that it rules and decrees the following:</w:t>
      </w:r>
    </w:p>
    <w:p w14:paraId="5CBA8F2E" w14:textId="77777777" w:rsidR="00A76848" w:rsidRPr="00320DDA" w:rsidRDefault="00A76848" w:rsidP="0046261B">
      <w:pPr>
        <w:tabs>
          <w:tab w:val="left" w:pos="3513"/>
        </w:tabs>
        <w:spacing w:line="264" w:lineRule="auto"/>
        <w:rPr>
          <w:rFonts w:asciiTheme="minorHAnsi" w:hAnsiTheme="minorHAnsi" w:cstheme="minorHAnsi"/>
          <w:b/>
          <w:lang w:val="en-CA"/>
        </w:rPr>
      </w:pPr>
    </w:p>
    <w:p w14:paraId="78466B0A" w14:textId="77777777" w:rsidR="003C6B95" w:rsidRPr="00320DDA" w:rsidRDefault="003C6B95" w:rsidP="0046261B">
      <w:pPr>
        <w:tabs>
          <w:tab w:val="left" w:pos="3513"/>
        </w:tabs>
        <w:spacing w:line="264" w:lineRule="auto"/>
        <w:rPr>
          <w:rFonts w:asciiTheme="minorHAnsi" w:hAnsiTheme="minorHAnsi" w:cstheme="minorHAnsi"/>
          <w:b/>
          <w:lang w:val="en-CA"/>
        </w:rPr>
      </w:pPr>
    </w:p>
    <w:p w14:paraId="070499FA" w14:textId="53604F58" w:rsidR="006D6E05" w:rsidRPr="00320DDA" w:rsidRDefault="003432E5" w:rsidP="0046261B">
      <w:pPr>
        <w:tabs>
          <w:tab w:val="left" w:pos="2268"/>
        </w:tabs>
        <w:spacing w:line="264" w:lineRule="auto"/>
        <w:rPr>
          <w:rFonts w:asciiTheme="minorHAnsi" w:hAnsiTheme="minorHAnsi" w:cstheme="minorHAnsi"/>
          <w:b/>
        </w:rPr>
      </w:pPr>
      <w:r w:rsidRPr="00320DDA">
        <w:rPr>
          <w:rFonts w:asciiTheme="minorHAnsi" w:hAnsiTheme="minorHAnsi" w:cstheme="minorHAnsi"/>
          <w:b/>
        </w:rPr>
        <w:t>ARTICLE</w:t>
      </w:r>
      <w:r w:rsidRPr="00320DDA">
        <w:rPr>
          <w:rFonts w:asciiTheme="minorHAnsi" w:hAnsiTheme="minorHAnsi" w:cstheme="minorHAnsi"/>
          <w:b/>
          <w:spacing w:val="-1"/>
        </w:rPr>
        <w:t xml:space="preserve"> </w:t>
      </w:r>
      <w:r w:rsidRPr="00320DDA">
        <w:rPr>
          <w:rFonts w:asciiTheme="minorHAnsi" w:hAnsiTheme="minorHAnsi" w:cstheme="minorHAnsi"/>
          <w:b/>
          <w:spacing w:val="-10"/>
        </w:rPr>
        <w:t>1</w:t>
      </w:r>
      <w:r w:rsidRPr="00320DDA">
        <w:rPr>
          <w:rFonts w:asciiTheme="minorHAnsi" w:hAnsiTheme="minorHAnsi" w:cstheme="minorHAnsi"/>
          <w:b/>
        </w:rPr>
        <w:tab/>
      </w:r>
      <w:r w:rsidRPr="00320DDA">
        <w:rPr>
          <w:rFonts w:asciiTheme="minorHAnsi" w:hAnsiTheme="minorHAnsi" w:cstheme="minorHAnsi"/>
          <w:b/>
          <w:spacing w:val="-2"/>
        </w:rPr>
        <w:t>PR</w:t>
      </w:r>
      <w:r w:rsidR="00320DDA">
        <w:rPr>
          <w:rFonts w:asciiTheme="minorHAnsi" w:hAnsiTheme="minorHAnsi" w:cstheme="minorHAnsi"/>
          <w:b/>
          <w:spacing w:val="-2"/>
        </w:rPr>
        <w:t>E</w:t>
      </w:r>
      <w:r w:rsidRPr="00320DDA">
        <w:rPr>
          <w:rFonts w:asciiTheme="minorHAnsi" w:hAnsiTheme="minorHAnsi" w:cstheme="minorHAnsi"/>
          <w:b/>
          <w:spacing w:val="-2"/>
        </w:rPr>
        <w:t>AMBLE</w:t>
      </w:r>
    </w:p>
    <w:p w14:paraId="5693B8C7" w14:textId="77777777" w:rsidR="006D6E05" w:rsidRPr="000C5964" w:rsidRDefault="006D6E05" w:rsidP="0046261B">
      <w:pPr>
        <w:pStyle w:val="Corpsdetexte"/>
        <w:spacing w:line="264" w:lineRule="auto"/>
        <w:rPr>
          <w:rFonts w:asciiTheme="minorHAnsi" w:hAnsiTheme="minorHAnsi" w:cstheme="minorHAnsi"/>
          <w:b/>
          <w:sz w:val="22"/>
          <w:szCs w:val="22"/>
        </w:rPr>
      </w:pPr>
    </w:p>
    <w:p w14:paraId="7C248387" w14:textId="7B3CC8AD" w:rsidR="006D6E05" w:rsidRPr="00FB7730" w:rsidRDefault="00FB7730" w:rsidP="0046261B">
      <w:pPr>
        <w:pStyle w:val="Corpsdetexte"/>
        <w:spacing w:line="264" w:lineRule="auto"/>
        <w:jc w:val="both"/>
        <w:rPr>
          <w:rFonts w:asciiTheme="minorHAnsi" w:hAnsiTheme="minorHAnsi" w:cstheme="minorHAnsi"/>
          <w:sz w:val="22"/>
          <w:szCs w:val="22"/>
          <w:lang w:val="en-CA"/>
        </w:rPr>
      </w:pPr>
      <w:r w:rsidRPr="00FB7730">
        <w:rPr>
          <w:rFonts w:asciiTheme="minorHAnsi" w:hAnsiTheme="minorHAnsi" w:cstheme="minorHAnsi"/>
          <w:sz w:val="22"/>
          <w:szCs w:val="22"/>
          <w:lang w:val="en-CA"/>
        </w:rPr>
        <w:t>The preamble shall form an integral part of this by-law.</w:t>
      </w:r>
    </w:p>
    <w:p w14:paraId="1FD6DF0F" w14:textId="77777777" w:rsidR="006D6E05" w:rsidRPr="00FB7730" w:rsidRDefault="006D6E05" w:rsidP="0046261B">
      <w:pPr>
        <w:pStyle w:val="Corpsdetexte"/>
        <w:spacing w:line="264" w:lineRule="auto"/>
        <w:rPr>
          <w:rFonts w:asciiTheme="minorHAnsi" w:hAnsiTheme="minorHAnsi" w:cstheme="minorHAnsi"/>
          <w:sz w:val="22"/>
          <w:szCs w:val="22"/>
          <w:lang w:val="en-CA"/>
        </w:rPr>
      </w:pPr>
    </w:p>
    <w:p w14:paraId="11381699" w14:textId="36F17CB2" w:rsidR="006D6E05" w:rsidRPr="00FB7730" w:rsidRDefault="003432E5" w:rsidP="0046261B">
      <w:pPr>
        <w:pStyle w:val="Titre1"/>
        <w:tabs>
          <w:tab w:val="left" w:pos="2268"/>
        </w:tabs>
        <w:spacing w:line="264" w:lineRule="auto"/>
        <w:ind w:left="0"/>
        <w:rPr>
          <w:rFonts w:asciiTheme="minorHAnsi" w:hAnsiTheme="minorHAnsi" w:cstheme="minorHAnsi"/>
          <w:sz w:val="22"/>
          <w:szCs w:val="22"/>
          <w:lang w:val="en-CA"/>
        </w:rPr>
      </w:pPr>
      <w:r w:rsidRPr="00FB7730">
        <w:rPr>
          <w:rFonts w:asciiTheme="minorHAnsi" w:hAnsiTheme="minorHAnsi" w:cstheme="minorHAnsi"/>
          <w:sz w:val="22"/>
          <w:szCs w:val="22"/>
          <w:lang w:val="en-CA"/>
        </w:rPr>
        <w:t xml:space="preserve">ARTICLE </w:t>
      </w:r>
      <w:r w:rsidRPr="00FB7730">
        <w:rPr>
          <w:rFonts w:asciiTheme="minorHAnsi" w:hAnsiTheme="minorHAnsi" w:cstheme="minorHAnsi"/>
          <w:spacing w:val="-12"/>
          <w:sz w:val="22"/>
          <w:szCs w:val="22"/>
          <w:lang w:val="en-CA"/>
        </w:rPr>
        <w:t>2</w:t>
      </w:r>
      <w:r w:rsidRPr="00FB7730">
        <w:rPr>
          <w:rFonts w:asciiTheme="minorHAnsi" w:hAnsiTheme="minorHAnsi" w:cstheme="minorHAnsi"/>
          <w:sz w:val="22"/>
          <w:szCs w:val="22"/>
          <w:lang w:val="en-CA"/>
        </w:rPr>
        <w:tab/>
      </w:r>
      <w:r w:rsidRPr="00FB7730">
        <w:rPr>
          <w:rFonts w:asciiTheme="minorHAnsi" w:hAnsiTheme="minorHAnsi" w:cstheme="minorHAnsi"/>
          <w:spacing w:val="-2"/>
          <w:sz w:val="22"/>
          <w:szCs w:val="22"/>
          <w:lang w:val="en-CA"/>
        </w:rPr>
        <w:t>D</w:t>
      </w:r>
      <w:r w:rsidR="00FB7730" w:rsidRPr="00FB7730">
        <w:rPr>
          <w:rFonts w:asciiTheme="minorHAnsi" w:hAnsiTheme="minorHAnsi" w:cstheme="minorHAnsi"/>
          <w:spacing w:val="-2"/>
          <w:sz w:val="22"/>
          <w:szCs w:val="22"/>
          <w:lang w:val="en-CA"/>
        </w:rPr>
        <w:t>E</w:t>
      </w:r>
      <w:r w:rsidRPr="00FB7730">
        <w:rPr>
          <w:rFonts w:asciiTheme="minorHAnsi" w:hAnsiTheme="minorHAnsi" w:cstheme="minorHAnsi"/>
          <w:spacing w:val="-2"/>
          <w:sz w:val="22"/>
          <w:szCs w:val="22"/>
          <w:lang w:val="en-CA"/>
        </w:rPr>
        <w:t>FINITIONS</w:t>
      </w:r>
    </w:p>
    <w:p w14:paraId="2FC79E62" w14:textId="77777777" w:rsidR="006D6E05" w:rsidRPr="00FB7730" w:rsidRDefault="006D6E05" w:rsidP="0046261B">
      <w:pPr>
        <w:pStyle w:val="Corpsdetexte"/>
        <w:spacing w:line="264" w:lineRule="auto"/>
        <w:rPr>
          <w:rFonts w:asciiTheme="minorHAnsi" w:hAnsiTheme="minorHAnsi" w:cstheme="minorHAnsi"/>
          <w:b/>
          <w:sz w:val="22"/>
          <w:szCs w:val="22"/>
          <w:lang w:val="en-CA"/>
        </w:rPr>
      </w:pPr>
    </w:p>
    <w:p w14:paraId="1813F54A" w14:textId="1EDD7313" w:rsidR="006D6E05" w:rsidRPr="00FB7730" w:rsidRDefault="00FB7730" w:rsidP="0046261B">
      <w:pPr>
        <w:pStyle w:val="Corpsdetexte"/>
        <w:spacing w:line="264" w:lineRule="auto"/>
        <w:ind w:right="109"/>
        <w:jc w:val="both"/>
        <w:rPr>
          <w:rFonts w:asciiTheme="minorHAnsi" w:hAnsiTheme="minorHAnsi" w:cstheme="minorHAnsi"/>
          <w:sz w:val="22"/>
          <w:szCs w:val="22"/>
          <w:lang w:val="en-CA"/>
        </w:rPr>
      </w:pPr>
      <w:r w:rsidRPr="00FB7730">
        <w:rPr>
          <w:rFonts w:asciiTheme="minorHAnsi" w:hAnsiTheme="minorHAnsi" w:cstheme="minorHAnsi"/>
          <w:sz w:val="22"/>
          <w:szCs w:val="22"/>
          <w:lang w:val="en-CA"/>
        </w:rPr>
        <w:t xml:space="preserve">In this </w:t>
      </w:r>
      <w:r>
        <w:rPr>
          <w:rFonts w:asciiTheme="minorHAnsi" w:hAnsiTheme="minorHAnsi" w:cstheme="minorHAnsi"/>
          <w:sz w:val="22"/>
          <w:szCs w:val="22"/>
          <w:lang w:val="en-CA"/>
        </w:rPr>
        <w:t>by-law</w:t>
      </w:r>
      <w:r w:rsidRPr="00FB7730">
        <w:rPr>
          <w:rFonts w:asciiTheme="minorHAnsi" w:hAnsiTheme="minorHAnsi" w:cstheme="minorHAnsi"/>
          <w:sz w:val="22"/>
          <w:szCs w:val="22"/>
          <w:lang w:val="en-CA"/>
        </w:rPr>
        <w:t>, unless the context indicates a different meaning, the following words shall have the following meaning</w:t>
      </w:r>
      <w:r w:rsidR="003432E5" w:rsidRPr="00FB7730">
        <w:rPr>
          <w:rFonts w:asciiTheme="minorHAnsi" w:hAnsiTheme="minorHAnsi" w:cstheme="minorHAnsi"/>
          <w:sz w:val="22"/>
          <w:szCs w:val="22"/>
          <w:lang w:val="en-CA"/>
        </w:rPr>
        <w:t>:</w:t>
      </w:r>
    </w:p>
    <w:p w14:paraId="50B5C9A2" w14:textId="77777777" w:rsidR="006D6E05" w:rsidRPr="00FB7730" w:rsidRDefault="006D6E05" w:rsidP="0046261B">
      <w:pPr>
        <w:pStyle w:val="Corpsdetexte"/>
        <w:spacing w:line="264" w:lineRule="auto"/>
        <w:jc w:val="both"/>
        <w:rPr>
          <w:rFonts w:asciiTheme="minorHAnsi" w:hAnsiTheme="minorHAnsi" w:cstheme="minorHAnsi"/>
          <w:sz w:val="22"/>
          <w:szCs w:val="22"/>
          <w:lang w:val="en-CA"/>
        </w:rPr>
      </w:pPr>
    </w:p>
    <w:p w14:paraId="1192DFBD" w14:textId="09DBB3D2" w:rsidR="006D6E05" w:rsidRDefault="00AE1E3D" w:rsidP="0046261B">
      <w:pPr>
        <w:pStyle w:val="Corpsdetexte"/>
        <w:spacing w:line="264" w:lineRule="auto"/>
        <w:ind w:left="2268" w:hanging="2268"/>
        <w:jc w:val="both"/>
        <w:rPr>
          <w:rFonts w:asciiTheme="minorHAnsi" w:hAnsiTheme="minorHAnsi" w:cstheme="minorHAnsi"/>
          <w:iCs/>
          <w:sz w:val="22"/>
          <w:szCs w:val="22"/>
          <w:lang w:val="en-CA"/>
        </w:rPr>
      </w:pPr>
      <w:r w:rsidRPr="00AE1E3D">
        <w:rPr>
          <w:rFonts w:asciiTheme="minorHAnsi" w:hAnsiTheme="minorHAnsi" w:cstheme="minorHAnsi"/>
          <w:iCs/>
          <w:sz w:val="22"/>
          <w:szCs w:val="22"/>
          <w:lang w:val="en-CA"/>
        </w:rPr>
        <w:t>Tax base</w:t>
      </w:r>
      <w:r w:rsidRPr="00AE1E3D">
        <w:rPr>
          <w:rFonts w:asciiTheme="minorHAnsi" w:hAnsiTheme="minorHAnsi" w:cstheme="minorHAnsi"/>
          <w:iCs/>
          <w:sz w:val="22"/>
          <w:szCs w:val="22"/>
          <w:lang w:val="en-CA"/>
        </w:rPr>
        <w:tab/>
        <w:t>the basis of assessment of the transfer tax within the meaning of paragraph 2 of the Act respecting transfer tax (R.S.Q., chapter D-15.1).</w:t>
      </w:r>
    </w:p>
    <w:p w14:paraId="2EB69A51" w14:textId="77777777" w:rsidR="00AE1E3D" w:rsidRPr="00AE1E3D" w:rsidRDefault="00AE1E3D" w:rsidP="0046261B">
      <w:pPr>
        <w:pStyle w:val="Corpsdetexte"/>
        <w:spacing w:line="264" w:lineRule="auto"/>
        <w:jc w:val="both"/>
        <w:rPr>
          <w:rFonts w:asciiTheme="minorHAnsi" w:hAnsiTheme="minorHAnsi" w:cstheme="minorHAnsi"/>
          <w:iCs/>
          <w:sz w:val="22"/>
          <w:szCs w:val="22"/>
          <w:lang w:val="en-CA"/>
        </w:rPr>
      </w:pPr>
    </w:p>
    <w:p w14:paraId="6A96881F" w14:textId="478D1141" w:rsidR="00510EDB" w:rsidRDefault="003432E5" w:rsidP="0046261B">
      <w:pPr>
        <w:tabs>
          <w:tab w:val="left" w:pos="4932"/>
        </w:tabs>
        <w:spacing w:line="264" w:lineRule="auto"/>
        <w:ind w:left="2268" w:right="108" w:hanging="2268"/>
        <w:jc w:val="both"/>
        <w:rPr>
          <w:rFonts w:asciiTheme="minorHAnsi" w:hAnsiTheme="minorHAnsi" w:cstheme="minorHAnsi"/>
          <w:iCs/>
          <w:lang w:val="en-CA"/>
        </w:rPr>
      </w:pPr>
      <w:r w:rsidRPr="00AE1E3D">
        <w:rPr>
          <w:rFonts w:asciiTheme="minorHAnsi" w:hAnsiTheme="minorHAnsi" w:cstheme="minorHAnsi"/>
          <w:iCs/>
          <w:spacing w:val="-2"/>
          <w:lang w:val="en-CA"/>
        </w:rPr>
        <w:t>Transfer</w:t>
      </w:r>
      <w:r w:rsidRPr="00AE1E3D">
        <w:rPr>
          <w:rFonts w:asciiTheme="minorHAnsi" w:hAnsiTheme="minorHAnsi" w:cstheme="minorHAnsi"/>
          <w:iCs/>
          <w:lang w:val="en-CA"/>
        </w:rPr>
        <w:tab/>
      </w:r>
      <w:r w:rsidR="00AE1E3D" w:rsidRPr="00AE1E3D">
        <w:rPr>
          <w:rFonts w:asciiTheme="minorHAnsi" w:hAnsiTheme="minorHAnsi" w:cstheme="minorHAnsi"/>
          <w:iCs/>
          <w:lang w:val="en-CA"/>
        </w:rPr>
        <w:t>the transfer as already defined in the Act respecting transfer duties (R.S.Q., chapter D-15.1).</w:t>
      </w:r>
    </w:p>
    <w:p w14:paraId="533230F5" w14:textId="77777777" w:rsidR="00AE1E3D" w:rsidRPr="00AE1E3D" w:rsidRDefault="00AE1E3D" w:rsidP="0046261B">
      <w:pPr>
        <w:tabs>
          <w:tab w:val="left" w:pos="4932"/>
        </w:tabs>
        <w:spacing w:line="264" w:lineRule="auto"/>
        <w:ind w:left="2268" w:right="108" w:hanging="2268"/>
        <w:jc w:val="both"/>
        <w:rPr>
          <w:rFonts w:asciiTheme="minorHAnsi" w:hAnsiTheme="minorHAnsi" w:cstheme="minorHAnsi"/>
          <w:lang w:val="en-CA"/>
        </w:rPr>
      </w:pPr>
    </w:p>
    <w:p w14:paraId="2A58C654" w14:textId="4C518274" w:rsidR="006D6E05" w:rsidRPr="00620B06" w:rsidRDefault="003432E5" w:rsidP="0046261B">
      <w:pPr>
        <w:pStyle w:val="Titre1"/>
        <w:tabs>
          <w:tab w:val="left" w:pos="2268"/>
        </w:tabs>
        <w:spacing w:line="264" w:lineRule="auto"/>
        <w:ind w:left="0"/>
        <w:rPr>
          <w:rFonts w:asciiTheme="minorHAnsi" w:hAnsiTheme="minorHAnsi" w:cstheme="minorHAnsi"/>
          <w:sz w:val="22"/>
          <w:szCs w:val="22"/>
          <w:lang w:val="en-CA"/>
        </w:rPr>
      </w:pPr>
      <w:r w:rsidRPr="00620B06">
        <w:rPr>
          <w:rFonts w:asciiTheme="minorHAnsi" w:hAnsiTheme="minorHAnsi" w:cstheme="minorHAnsi"/>
          <w:sz w:val="22"/>
          <w:szCs w:val="22"/>
          <w:lang w:val="en-CA"/>
        </w:rPr>
        <w:t>ARTICLE</w:t>
      </w:r>
      <w:r w:rsidRPr="00620B06">
        <w:rPr>
          <w:rFonts w:asciiTheme="minorHAnsi" w:hAnsiTheme="minorHAnsi" w:cstheme="minorHAnsi"/>
          <w:spacing w:val="-1"/>
          <w:sz w:val="22"/>
          <w:szCs w:val="22"/>
          <w:lang w:val="en-CA"/>
        </w:rPr>
        <w:t xml:space="preserve"> </w:t>
      </w:r>
      <w:r w:rsidRPr="00620B06">
        <w:rPr>
          <w:rFonts w:asciiTheme="minorHAnsi" w:hAnsiTheme="minorHAnsi" w:cstheme="minorHAnsi"/>
          <w:spacing w:val="-10"/>
          <w:sz w:val="22"/>
          <w:szCs w:val="22"/>
          <w:lang w:val="en-CA"/>
        </w:rPr>
        <w:t>3</w:t>
      </w:r>
      <w:r w:rsidRPr="00620B06">
        <w:rPr>
          <w:rFonts w:asciiTheme="minorHAnsi" w:hAnsiTheme="minorHAnsi" w:cstheme="minorHAnsi"/>
          <w:sz w:val="22"/>
          <w:szCs w:val="22"/>
          <w:lang w:val="en-CA"/>
        </w:rPr>
        <w:tab/>
      </w:r>
      <w:r w:rsidR="00620B06" w:rsidRPr="00620B06">
        <w:rPr>
          <w:rFonts w:asciiTheme="minorHAnsi" w:hAnsiTheme="minorHAnsi" w:cstheme="minorHAnsi"/>
          <w:spacing w:val="-4"/>
          <w:sz w:val="22"/>
          <w:szCs w:val="22"/>
          <w:lang w:val="en-CA"/>
        </w:rPr>
        <w:t>RATE</w:t>
      </w:r>
    </w:p>
    <w:p w14:paraId="2ABD60AE" w14:textId="77777777" w:rsidR="006D6E05" w:rsidRPr="00620B06" w:rsidRDefault="006D6E05" w:rsidP="0046261B">
      <w:pPr>
        <w:pStyle w:val="Corpsdetexte"/>
        <w:spacing w:line="264" w:lineRule="auto"/>
        <w:rPr>
          <w:rFonts w:asciiTheme="minorHAnsi" w:hAnsiTheme="minorHAnsi" w:cstheme="minorHAnsi"/>
          <w:b/>
          <w:sz w:val="22"/>
          <w:szCs w:val="22"/>
          <w:lang w:val="en-CA"/>
        </w:rPr>
      </w:pPr>
    </w:p>
    <w:p w14:paraId="043F086F" w14:textId="11D4D2BA" w:rsidR="006D6E05" w:rsidRDefault="00620B06" w:rsidP="0046261B">
      <w:pPr>
        <w:pStyle w:val="Corpsdetexte"/>
        <w:spacing w:before="45" w:line="264" w:lineRule="auto"/>
        <w:rPr>
          <w:rFonts w:asciiTheme="minorHAnsi" w:hAnsiTheme="minorHAnsi" w:cstheme="minorHAnsi"/>
          <w:sz w:val="22"/>
          <w:szCs w:val="22"/>
          <w:lang w:val="en-CA"/>
        </w:rPr>
      </w:pPr>
      <w:r w:rsidRPr="00620B06">
        <w:rPr>
          <w:rFonts w:asciiTheme="minorHAnsi" w:hAnsiTheme="minorHAnsi" w:cstheme="minorHAnsi"/>
          <w:sz w:val="22"/>
          <w:szCs w:val="22"/>
          <w:lang w:val="en-CA"/>
        </w:rPr>
        <w:t>The Municipality collects a 3% fee on the transfer of any immovable located in its territory whose tax base exceeds $500,000.</w:t>
      </w:r>
    </w:p>
    <w:p w14:paraId="4CAF7C4C" w14:textId="77777777" w:rsidR="00620B06" w:rsidRPr="00620B06" w:rsidRDefault="00620B06" w:rsidP="0046261B">
      <w:pPr>
        <w:pStyle w:val="Corpsdetexte"/>
        <w:spacing w:before="45" w:line="264" w:lineRule="auto"/>
        <w:rPr>
          <w:rFonts w:asciiTheme="minorHAnsi" w:hAnsiTheme="minorHAnsi" w:cstheme="minorHAnsi"/>
          <w:i/>
          <w:sz w:val="22"/>
          <w:szCs w:val="22"/>
          <w:lang w:val="en-CA"/>
        </w:rPr>
      </w:pPr>
    </w:p>
    <w:p w14:paraId="01333D5B" w14:textId="4EF5DDBE" w:rsidR="006D6E05" w:rsidRDefault="003432E5" w:rsidP="0046261B">
      <w:pPr>
        <w:pStyle w:val="Titre1"/>
        <w:tabs>
          <w:tab w:val="left" w:pos="2268"/>
        </w:tabs>
        <w:spacing w:before="1" w:line="264" w:lineRule="auto"/>
        <w:ind w:left="0"/>
        <w:rPr>
          <w:rFonts w:asciiTheme="minorHAnsi" w:hAnsiTheme="minorHAnsi" w:cstheme="minorHAnsi"/>
          <w:sz w:val="22"/>
          <w:szCs w:val="22"/>
        </w:rPr>
      </w:pPr>
      <w:r w:rsidRPr="000C5964">
        <w:rPr>
          <w:rFonts w:asciiTheme="minorHAnsi" w:hAnsiTheme="minorHAnsi" w:cstheme="minorHAnsi"/>
          <w:sz w:val="22"/>
          <w:szCs w:val="22"/>
        </w:rPr>
        <w:t xml:space="preserve">ARTICLE </w:t>
      </w:r>
      <w:r w:rsidR="000C7A12">
        <w:rPr>
          <w:rFonts w:asciiTheme="minorHAnsi" w:hAnsiTheme="minorHAnsi" w:cstheme="minorHAnsi"/>
          <w:spacing w:val="-5"/>
          <w:sz w:val="22"/>
          <w:szCs w:val="22"/>
        </w:rPr>
        <w:t>4</w:t>
      </w:r>
      <w:r w:rsidRPr="000C5964">
        <w:rPr>
          <w:rFonts w:asciiTheme="minorHAnsi" w:hAnsiTheme="minorHAnsi" w:cstheme="minorHAnsi"/>
          <w:sz w:val="22"/>
          <w:szCs w:val="22"/>
        </w:rPr>
        <w:tab/>
      </w:r>
      <w:r w:rsidR="0032440A" w:rsidRPr="0032440A">
        <w:rPr>
          <w:rFonts w:asciiTheme="minorHAnsi" w:hAnsiTheme="minorHAnsi" w:cstheme="minorHAnsi"/>
          <w:sz w:val="22"/>
          <w:szCs w:val="22"/>
        </w:rPr>
        <w:t>SPECIAL DUTIES</w:t>
      </w:r>
    </w:p>
    <w:p w14:paraId="41432D33" w14:textId="77777777" w:rsidR="00731838" w:rsidRPr="000C5964" w:rsidRDefault="00731838" w:rsidP="0046261B">
      <w:pPr>
        <w:pStyle w:val="Titre1"/>
        <w:tabs>
          <w:tab w:val="left" w:pos="2268"/>
        </w:tabs>
        <w:spacing w:before="1" w:line="264" w:lineRule="auto"/>
        <w:ind w:left="0"/>
        <w:rPr>
          <w:rFonts w:asciiTheme="minorHAnsi" w:hAnsiTheme="minorHAnsi" w:cstheme="minorHAnsi"/>
          <w:sz w:val="22"/>
          <w:szCs w:val="22"/>
        </w:rPr>
      </w:pPr>
    </w:p>
    <w:p w14:paraId="08FC1467" w14:textId="0691ACF1" w:rsidR="00510EDB" w:rsidRDefault="00731838" w:rsidP="0046261B">
      <w:pPr>
        <w:pStyle w:val="Titre1"/>
        <w:tabs>
          <w:tab w:val="left" w:pos="3513"/>
        </w:tabs>
        <w:spacing w:line="264" w:lineRule="auto"/>
        <w:ind w:left="0"/>
        <w:rPr>
          <w:rFonts w:asciiTheme="minorHAnsi" w:hAnsiTheme="minorHAnsi" w:cstheme="minorHAnsi"/>
          <w:b w:val="0"/>
          <w:bCs w:val="0"/>
          <w:sz w:val="22"/>
          <w:szCs w:val="22"/>
          <w:lang w:val="en-CA"/>
        </w:rPr>
      </w:pPr>
      <w:r w:rsidRPr="00731838">
        <w:rPr>
          <w:rFonts w:asciiTheme="minorHAnsi" w:hAnsiTheme="minorHAnsi" w:cstheme="minorHAnsi"/>
          <w:b w:val="0"/>
          <w:bCs w:val="0"/>
          <w:sz w:val="22"/>
          <w:szCs w:val="22"/>
          <w:lang w:val="en-CA"/>
        </w:rPr>
        <w:t>The municipality shall order that a transfer tax supplement be paid in all cases where the transfer of an immovable situated in its territory occurs and where an exemption deprives it of the payment in respect of the transfer, in accordance with the terms and conditions set out in sections 20.1 to 20.10 of the Act respecting transfer duties.</w:t>
      </w:r>
    </w:p>
    <w:p w14:paraId="66A7F244" w14:textId="77777777" w:rsidR="00731838" w:rsidRPr="00731838" w:rsidRDefault="00731838" w:rsidP="0046261B">
      <w:pPr>
        <w:pStyle w:val="Titre1"/>
        <w:tabs>
          <w:tab w:val="left" w:pos="3513"/>
        </w:tabs>
        <w:spacing w:line="264" w:lineRule="auto"/>
        <w:ind w:left="0"/>
        <w:rPr>
          <w:rFonts w:asciiTheme="minorHAnsi" w:hAnsiTheme="minorHAnsi" w:cstheme="minorHAnsi"/>
          <w:sz w:val="22"/>
          <w:szCs w:val="22"/>
          <w:lang w:val="en-CA"/>
        </w:rPr>
      </w:pPr>
    </w:p>
    <w:p w14:paraId="1657A49C" w14:textId="438EC080" w:rsidR="006D6E05" w:rsidRPr="000C5964" w:rsidRDefault="003432E5" w:rsidP="0046261B">
      <w:pPr>
        <w:pStyle w:val="Titre1"/>
        <w:tabs>
          <w:tab w:val="left" w:pos="2268"/>
        </w:tabs>
        <w:spacing w:line="264" w:lineRule="auto"/>
        <w:ind w:left="0"/>
        <w:rPr>
          <w:rFonts w:asciiTheme="minorHAnsi" w:hAnsiTheme="minorHAnsi" w:cstheme="minorHAnsi"/>
          <w:sz w:val="22"/>
          <w:szCs w:val="22"/>
        </w:rPr>
      </w:pPr>
      <w:r w:rsidRPr="000C5964">
        <w:rPr>
          <w:rFonts w:asciiTheme="minorHAnsi" w:hAnsiTheme="minorHAnsi" w:cstheme="minorHAnsi"/>
          <w:sz w:val="22"/>
          <w:szCs w:val="22"/>
        </w:rPr>
        <w:t xml:space="preserve">ARTICLE </w:t>
      </w:r>
      <w:r w:rsidR="000C7A12">
        <w:rPr>
          <w:rFonts w:asciiTheme="minorHAnsi" w:hAnsiTheme="minorHAnsi" w:cstheme="minorHAnsi"/>
          <w:spacing w:val="-12"/>
          <w:sz w:val="22"/>
          <w:szCs w:val="22"/>
        </w:rPr>
        <w:t>5</w:t>
      </w:r>
      <w:r w:rsidRPr="000C5964">
        <w:rPr>
          <w:rFonts w:asciiTheme="minorHAnsi" w:hAnsiTheme="minorHAnsi" w:cstheme="minorHAnsi"/>
          <w:sz w:val="22"/>
          <w:szCs w:val="22"/>
        </w:rPr>
        <w:tab/>
      </w:r>
      <w:r w:rsidR="00D707EF">
        <w:rPr>
          <w:rFonts w:asciiTheme="minorHAnsi" w:hAnsiTheme="minorHAnsi" w:cstheme="minorHAnsi"/>
          <w:sz w:val="22"/>
          <w:szCs w:val="22"/>
        </w:rPr>
        <w:t>ENTRY INTO FORCE</w:t>
      </w:r>
    </w:p>
    <w:p w14:paraId="3B52A78C" w14:textId="77777777" w:rsidR="006D6E05" w:rsidRPr="000C5964" w:rsidRDefault="006D6E05" w:rsidP="0046261B">
      <w:pPr>
        <w:pStyle w:val="Corpsdetexte"/>
        <w:spacing w:line="264" w:lineRule="auto"/>
        <w:rPr>
          <w:rFonts w:asciiTheme="minorHAnsi" w:hAnsiTheme="minorHAnsi" w:cstheme="minorHAnsi"/>
          <w:b/>
          <w:sz w:val="22"/>
          <w:szCs w:val="22"/>
        </w:rPr>
      </w:pPr>
    </w:p>
    <w:p w14:paraId="65E52188" w14:textId="0FC6867F" w:rsidR="000E5900" w:rsidRPr="003F6E26" w:rsidRDefault="000E5900" w:rsidP="0046261B">
      <w:pPr>
        <w:spacing w:line="264" w:lineRule="auto"/>
        <w:jc w:val="both"/>
        <w:rPr>
          <w:rFonts w:asciiTheme="minorHAnsi" w:eastAsia="Times" w:hAnsiTheme="minorHAnsi" w:cstheme="minorHAnsi"/>
          <w:lang w:val="en-CA"/>
        </w:rPr>
      </w:pPr>
      <w:r w:rsidRPr="003F6E26">
        <w:rPr>
          <w:rFonts w:asciiTheme="minorHAnsi" w:eastAsia="Times" w:hAnsiTheme="minorHAnsi" w:cstheme="minorHAnsi"/>
          <w:lang w:val="en-CA"/>
        </w:rPr>
        <w:t xml:space="preserve">This </w:t>
      </w:r>
      <w:r>
        <w:rPr>
          <w:rFonts w:asciiTheme="minorHAnsi" w:eastAsia="Times" w:hAnsiTheme="minorHAnsi" w:cstheme="minorHAnsi"/>
          <w:lang w:val="en-CA"/>
        </w:rPr>
        <w:t>by-law</w:t>
      </w:r>
      <w:r w:rsidRPr="003F6E26">
        <w:rPr>
          <w:rFonts w:asciiTheme="minorHAnsi" w:eastAsia="Times" w:hAnsiTheme="minorHAnsi" w:cstheme="minorHAnsi"/>
          <w:lang w:val="en-CA"/>
        </w:rPr>
        <w:t xml:space="preserve"> shall come into force in accordance with the law.</w:t>
      </w:r>
    </w:p>
    <w:p w14:paraId="224448A8" w14:textId="77777777" w:rsidR="000E5900" w:rsidRPr="003F6E26" w:rsidRDefault="000E5900" w:rsidP="000E5900">
      <w:pPr>
        <w:pStyle w:val="Corpsdetexte"/>
        <w:spacing w:line="276" w:lineRule="auto"/>
        <w:rPr>
          <w:rFonts w:asciiTheme="minorHAnsi" w:hAnsiTheme="minorHAnsi" w:cstheme="minorHAnsi"/>
          <w:sz w:val="22"/>
          <w:szCs w:val="22"/>
          <w:lang w:val="en-CA"/>
        </w:rPr>
      </w:pPr>
    </w:p>
    <w:p w14:paraId="30A41E3D" w14:textId="77777777" w:rsidR="000E5900" w:rsidRPr="003F6E26" w:rsidRDefault="000E5900" w:rsidP="000E5900">
      <w:pPr>
        <w:tabs>
          <w:tab w:val="left" w:pos="2272"/>
          <w:tab w:val="left" w:pos="2992"/>
        </w:tabs>
        <w:spacing w:before="1" w:line="276" w:lineRule="auto"/>
        <w:ind w:right="6194"/>
        <w:rPr>
          <w:rFonts w:asciiTheme="minorHAnsi" w:hAnsiTheme="minorHAnsi" w:cstheme="minorHAnsi"/>
          <w:bCs/>
          <w:lang w:val="en-CA"/>
        </w:rPr>
      </w:pPr>
    </w:p>
    <w:p w14:paraId="2328CF65" w14:textId="77777777" w:rsidR="000E5900" w:rsidRPr="00874A5F" w:rsidRDefault="000E5900" w:rsidP="000E5900">
      <w:pPr>
        <w:tabs>
          <w:tab w:val="left" w:pos="4536"/>
        </w:tabs>
        <w:spacing w:line="252" w:lineRule="auto"/>
        <w:rPr>
          <w:rFonts w:ascii="Calibri" w:hAnsi="Calibri" w:cs="Calibri"/>
          <w:lang w:val="en-CA"/>
        </w:rPr>
      </w:pPr>
    </w:p>
    <w:p w14:paraId="6FA9293C" w14:textId="77777777" w:rsidR="000E5900" w:rsidRPr="00874A5F" w:rsidRDefault="000E5900" w:rsidP="000E5900">
      <w:pPr>
        <w:spacing w:line="252" w:lineRule="auto"/>
        <w:rPr>
          <w:rFonts w:ascii="Calibri" w:hAnsi="Calibri" w:cs="Calibri"/>
          <w:lang w:val="en-CA"/>
        </w:rPr>
      </w:pPr>
    </w:p>
    <w:tbl>
      <w:tblPr>
        <w:tblW w:w="0" w:type="auto"/>
        <w:tblLook w:val="04A0" w:firstRow="1" w:lastRow="0" w:firstColumn="1" w:lastColumn="0" w:noHBand="0" w:noVBand="1"/>
      </w:tblPr>
      <w:tblGrid>
        <w:gridCol w:w="3594"/>
        <w:gridCol w:w="1948"/>
        <w:gridCol w:w="3862"/>
      </w:tblGrid>
      <w:tr w:rsidR="000E5900" w:rsidRPr="00031339" w14:paraId="0059FD85" w14:textId="77777777" w:rsidTr="006E4BD6">
        <w:tc>
          <w:tcPr>
            <w:tcW w:w="3652" w:type="dxa"/>
            <w:tcBorders>
              <w:bottom w:val="single" w:sz="4" w:space="0" w:color="auto"/>
            </w:tcBorders>
            <w:shd w:val="clear" w:color="auto" w:fill="auto"/>
          </w:tcPr>
          <w:p w14:paraId="479FD0F1" w14:textId="77777777" w:rsidR="000E5900" w:rsidRPr="00874A5F" w:rsidRDefault="000E5900" w:rsidP="006E4BD6">
            <w:pPr>
              <w:spacing w:line="252" w:lineRule="auto"/>
              <w:rPr>
                <w:rFonts w:ascii="Calibri" w:eastAsia="Calibri" w:hAnsi="Calibri" w:cs="Calibri"/>
                <w:lang w:val="en-CA"/>
              </w:rPr>
            </w:pPr>
          </w:p>
        </w:tc>
        <w:tc>
          <w:tcPr>
            <w:tcW w:w="1985" w:type="dxa"/>
            <w:shd w:val="clear" w:color="auto" w:fill="auto"/>
          </w:tcPr>
          <w:p w14:paraId="591F87FD" w14:textId="77777777" w:rsidR="000E5900" w:rsidRPr="00874A5F" w:rsidRDefault="000E5900" w:rsidP="006E4BD6">
            <w:pPr>
              <w:spacing w:line="252" w:lineRule="auto"/>
              <w:rPr>
                <w:rFonts w:ascii="Calibri" w:eastAsia="Calibri" w:hAnsi="Calibri" w:cs="Calibri"/>
                <w:lang w:val="en-CA"/>
              </w:rPr>
            </w:pPr>
          </w:p>
        </w:tc>
        <w:tc>
          <w:tcPr>
            <w:tcW w:w="3921" w:type="dxa"/>
            <w:tcBorders>
              <w:bottom w:val="single" w:sz="4" w:space="0" w:color="auto"/>
            </w:tcBorders>
            <w:shd w:val="clear" w:color="auto" w:fill="auto"/>
          </w:tcPr>
          <w:p w14:paraId="29B0D7F8" w14:textId="77777777" w:rsidR="000E5900" w:rsidRPr="00874A5F" w:rsidRDefault="000E5900" w:rsidP="006E4BD6">
            <w:pPr>
              <w:spacing w:line="252" w:lineRule="auto"/>
              <w:rPr>
                <w:rFonts w:ascii="Calibri" w:eastAsia="Calibri" w:hAnsi="Calibri" w:cs="Calibri"/>
                <w:lang w:val="en-CA"/>
              </w:rPr>
            </w:pPr>
          </w:p>
        </w:tc>
      </w:tr>
      <w:tr w:rsidR="000E5900" w:rsidRPr="00031339" w14:paraId="79C1260C" w14:textId="77777777" w:rsidTr="006E4BD6">
        <w:tc>
          <w:tcPr>
            <w:tcW w:w="3652" w:type="dxa"/>
            <w:tcBorders>
              <w:top w:val="single" w:sz="4" w:space="0" w:color="auto"/>
            </w:tcBorders>
            <w:shd w:val="clear" w:color="auto" w:fill="auto"/>
          </w:tcPr>
          <w:p w14:paraId="175F822E" w14:textId="77777777" w:rsidR="000E5900" w:rsidRPr="0083082A" w:rsidRDefault="000E5900" w:rsidP="006E4BD6">
            <w:pPr>
              <w:spacing w:line="252" w:lineRule="auto"/>
              <w:rPr>
                <w:rFonts w:ascii="Calibri" w:eastAsia="Calibri" w:hAnsi="Calibri" w:cs="Calibri"/>
              </w:rPr>
            </w:pPr>
            <w:r w:rsidRPr="0083082A">
              <w:rPr>
                <w:rFonts w:ascii="Calibri" w:eastAsia="Calibri" w:hAnsi="Calibri" w:cs="Calibri"/>
              </w:rPr>
              <w:t>Tom Arnold</w:t>
            </w:r>
          </w:p>
          <w:p w14:paraId="4611CE4B" w14:textId="77777777" w:rsidR="000E5900" w:rsidRPr="0083082A" w:rsidRDefault="000E5900" w:rsidP="006E4BD6">
            <w:pPr>
              <w:spacing w:line="252" w:lineRule="auto"/>
              <w:rPr>
                <w:rFonts w:ascii="Calibri" w:eastAsia="Calibri" w:hAnsi="Calibri" w:cs="Calibri"/>
              </w:rPr>
            </w:pPr>
            <w:r w:rsidRPr="0083082A">
              <w:rPr>
                <w:rFonts w:ascii="Calibri" w:eastAsia="Calibri" w:hAnsi="Calibri" w:cs="Calibri"/>
              </w:rPr>
              <w:t>Ma</w:t>
            </w:r>
            <w:r>
              <w:rPr>
                <w:rFonts w:ascii="Calibri" w:eastAsia="Calibri" w:hAnsi="Calibri" w:cs="Calibri"/>
              </w:rPr>
              <w:t>yor</w:t>
            </w:r>
          </w:p>
        </w:tc>
        <w:tc>
          <w:tcPr>
            <w:tcW w:w="1985" w:type="dxa"/>
            <w:shd w:val="clear" w:color="auto" w:fill="auto"/>
          </w:tcPr>
          <w:p w14:paraId="3423E234" w14:textId="77777777" w:rsidR="000E5900" w:rsidRPr="0083082A" w:rsidRDefault="000E5900" w:rsidP="006E4BD6">
            <w:pPr>
              <w:spacing w:line="252" w:lineRule="auto"/>
              <w:rPr>
                <w:rFonts w:ascii="Calibri" w:eastAsia="Calibri" w:hAnsi="Calibri" w:cs="Calibri"/>
              </w:rPr>
            </w:pPr>
          </w:p>
        </w:tc>
        <w:tc>
          <w:tcPr>
            <w:tcW w:w="3921" w:type="dxa"/>
            <w:tcBorders>
              <w:top w:val="single" w:sz="4" w:space="0" w:color="auto"/>
            </w:tcBorders>
            <w:shd w:val="clear" w:color="auto" w:fill="auto"/>
          </w:tcPr>
          <w:p w14:paraId="5FA9B177" w14:textId="77777777" w:rsidR="000E5900" w:rsidRPr="005E24F8" w:rsidRDefault="000E5900" w:rsidP="006E4BD6">
            <w:pPr>
              <w:spacing w:line="252" w:lineRule="auto"/>
              <w:rPr>
                <w:rFonts w:ascii="Calibri" w:eastAsia="Calibri" w:hAnsi="Calibri" w:cs="Calibri"/>
                <w:lang w:val="en-CA"/>
              </w:rPr>
            </w:pPr>
            <w:r w:rsidRPr="005E24F8">
              <w:rPr>
                <w:rFonts w:ascii="Calibri" w:eastAsia="Calibri" w:hAnsi="Calibri" w:cs="Calibri"/>
                <w:lang w:val="en-CA"/>
              </w:rPr>
              <w:t>François Rioux</w:t>
            </w:r>
          </w:p>
          <w:p w14:paraId="0C0A1480" w14:textId="77777777" w:rsidR="000E5900" w:rsidRPr="00FB1781" w:rsidRDefault="000E5900" w:rsidP="006E4BD6">
            <w:pPr>
              <w:spacing w:line="252" w:lineRule="auto"/>
              <w:rPr>
                <w:rFonts w:ascii="Calibri" w:eastAsia="Calibri" w:hAnsi="Calibri" w:cs="Calibri"/>
                <w:lang w:val="en-CA"/>
              </w:rPr>
            </w:pPr>
            <w:r w:rsidRPr="00FB1781">
              <w:rPr>
                <w:rFonts w:ascii="Calibri" w:eastAsia="Calibri" w:hAnsi="Calibri" w:cs="Calibri"/>
                <w:lang w:val="en-CA"/>
              </w:rPr>
              <w:t>Director general and Clerk-T</w:t>
            </w:r>
            <w:r>
              <w:rPr>
                <w:rFonts w:ascii="Calibri" w:eastAsia="Calibri" w:hAnsi="Calibri" w:cs="Calibri"/>
                <w:lang w:val="en-CA"/>
              </w:rPr>
              <w:t>reasurer</w:t>
            </w:r>
          </w:p>
        </w:tc>
      </w:tr>
    </w:tbl>
    <w:p w14:paraId="01DD995E" w14:textId="77777777" w:rsidR="000E5900" w:rsidRPr="00FB1781" w:rsidRDefault="000E5900" w:rsidP="000E5900">
      <w:pPr>
        <w:spacing w:line="252" w:lineRule="auto"/>
        <w:rPr>
          <w:rFonts w:ascii="Calibri" w:hAnsi="Calibri" w:cs="Calibri"/>
          <w:lang w:val="en-CA"/>
        </w:rPr>
      </w:pPr>
    </w:p>
    <w:p w14:paraId="2D515A21" w14:textId="77777777" w:rsidR="000E5900" w:rsidRPr="00874A5F" w:rsidRDefault="000E5900" w:rsidP="000E5900">
      <w:pPr>
        <w:spacing w:line="252" w:lineRule="auto"/>
        <w:rPr>
          <w:rFonts w:ascii="Calibri" w:hAnsi="Calibri" w:cs="Calibri"/>
          <w:lang w:val="en-CA"/>
        </w:rPr>
      </w:pPr>
      <w:r w:rsidRPr="00874A5F">
        <w:rPr>
          <w:rFonts w:ascii="Calibri" w:hAnsi="Calibri" w:cs="Calibri"/>
          <w:lang w:val="en-CA"/>
        </w:rPr>
        <w:t xml:space="preserve">The </w:t>
      </w:r>
      <w:proofErr w:type="spellStart"/>
      <w:r w:rsidRPr="00874A5F">
        <w:rPr>
          <w:rFonts w:ascii="Calibri" w:hAnsi="Calibri" w:cs="Calibri"/>
          <w:lang w:val="en-CA"/>
        </w:rPr>
        <w:t>french</w:t>
      </w:r>
      <w:proofErr w:type="spellEnd"/>
      <w:r w:rsidRPr="00874A5F">
        <w:rPr>
          <w:rFonts w:ascii="Calibri" w:hAnsi="Calibri" w:cs="Calibri"/>
          <w:lang w:val="en-CA"/>
        </w:rPr>
        <w:t xml:space="preserve"> version of the present by-law prevails over the </w:t>
      </w:r>
      <w:proofErr w:type="spellStart"/>
      <w:r w:rsidRPr="00874A5F">
        <w:rPr>
          <w:rFonts w:ascii="Calibri" w:hAnsi="Calibri" w:cs="Calibri"/>
          <w:lang w:val="en-CA"/>
        </w:rPr>
        <w:t>english</w:t>
      </w:r>
      <w:proofErr w:type="spellEnd"/>
      <w:r w:rsidRPr="00874A5F">
        <w:rPr>
          <w:rFonts w:ascii="Calibri" w:hAnsi="Calibri" w:cs="Calibri"/>
          <w:lang w:val="en-CA"/>
        </w:rPr>
        <w:t xml:space="preserve"> version as to its interpretation.</w:t>
      </w:r>
    </w:p>
    <w:p w14:paraId="24FB7990" w14:textId="77777777" w:rsidR="000E5900" w:rsidRPr="00874A5F" w:rsidRDefault="000E5900" w:rsidP="000E5900">
      <w:pPr>
        <w:spacing w:line="252" w:lineRule="auto"/>
        <w:rPr>
          <w:rFonts w:ascii="Calibri" w:hAnsi="Calibri" w:cs="Calibri"/>
          <w:lang w:val="en-CA"/>
        </w:rPr>
      </w:pPr>
    </w:p>
    <w:tbl>
      <w:tblPr>
        <w:tblW w:w="0" w:type="auto"/>
        <w:tblLook w:val="04A0" w:firstRow="1" w:lastRow="0" w:firstColumn="1" w:lastColumn="0" w:noHBand="0" w:noVBand="1"/>
      </w:tblPr>
      <w:tblGrid>
        <w:gridCol w:w="4705"/>
        <w:gridCol w:w="4699"/>
      </w:tblGrid>
      <w:tr w:rsidR="000E5900" w:rsidRPr="0083082A" w14:paraId="3193719E" w14:textId="77777777" w:rsidTr="006E4BD6">
        <w:trPr>
          <w:trHeight w:val="432"/>
        </w:trPr>
        <w:tc>
          <w:tcPr>
            <w:tcW w:w="4772" w:type="dxa"/>
            <w:shd w:val="clear" w:color="auto" w:fill="auto"/>
            <w:vAlign w:val="center"/>
          </w:tcPr>
          <w:p w14:paraId="5E733E0F" w14:textId="77777777" w:rsidR="000E5900" w:rsidRPr="0083082A" w:rsidRDefault="000E5900" w:rsidP="006E4BD6">
            <w:pPr>
              <w:spacing w:line="252" w:lineRule="auto"/>
              <w:rPr>
                <w:rFonts w:ascii="Calibri" w:hAnsi="Calibri" w:cs="Calibri"/>
              </w:rPr>
            </w:pPr>
            <w:r>
              <w:rPr>
                <w:rFonts w:ascii="Calibri" w:hAnsi="Calibri" w:cs="Calibri"/>
              </w:rPr>
              <w:t>Motion notice</w:t>
            </w:r>
            <w:r w:rsidRPr="0083082A">
              <w:rPr>
                <w:rFonts w:ascii="Calibri" w:hAnsi="Calibri" w:cs="Calibri"/>
              </w:rPr>
              <w:t> :</w:t>
            </w:r>
          </w:p>
        </w:tc>
        <w:tc>
          <w:tcPr>
            <w:tcW w:w="4772" w:type="dxa"/>
            <w:shd w:val="clear" w:color="auto" w:fill="auto"/>
            <w:vAlign w:val="center"/>
          </w:tcPr>
          <w:p w14:paraId="0620C0DC" w14:textId="77777777" w:rsidR="000E5900" w:rsidRPr="0083082A" w:rsidRDefault="000E5900" w:rsidP="006E4BD6">
            <w:pPr>
              <w:spacing w:line="252" w:lineRule="auto"/>
              <w:rPr>
                <w:rFonts w:ascii="Calibri" w:hAnsi="Calibri" w:cs="Calibri"/>
              </w:rPr>
            </w:pPr>
            <w:r>
              <w:rPr>
                <w:rFonts w:ascii="Calibri" w:hAnsi="Calibri" w:cs="Calibri"/>
              </w:rPr>
              <w:t>March 12, 2024</w:t>
            </w:r>
          </w:p>
        </w:tc>
      </w:tr>
      <w:tr w:rsidR="000E5900" w:rsidRPr="0083082A" w14:paraId="58C6056C" w14:textId="77777777" w:rsidTr="006E4BD6">
        <w:trPr>
          <w:trHeight w:val="432"/>
        </w:trPr>
        <w:tc>
          <w:tcPr>
            <w:tcW w:w="4772" w:type="dxa"/>
            <w:shd w:val="clear" w:color="auto" w:fill="auto"/>
            <w:vAlign w:val="center"/>
          </w:tcPr>
          <w:p w14:paraId="007A8EFF" w14:textId="77777777" w:rsidR="000E5900" w:rsidRPr="0083082A" w:rsidRDefault="000E5900" w:rsidP="006E4BD6">
            <w:pPr>
              <w:spacing w:line="252" w:lineRule="auto"/>
              <w:rPr>
                <w:rFonts w:ascii="Calibri" w:hAnsi="Calibri" w:cs="Calibri"/>
              </w:rPr>
            </w:pPr>
            <w:proofErr w:type="spellStart"/>
            <w:r>
              <w:rPr>
                <w:rFonts w:ascii="Calibri" w:hAnsi="Calibri" w:cs="Calibri"/>
              </w:rPr>
              <w:t>Tabling</w:t>
            </w:r>
            <w:proofErr w:type="spellEnd"/>
            <w:r w:rsidRPr="0083082A">
              <w:rPr>
                <w:rFonts w:ascii="Calibri" w:hAnsi="Calibri" w:cs="Calibri"/>
              </w:rPr>
              <w:t> :</w:t>
            </w:r>
          </w:p>
        </w:tc>
        <w:tc>
          <w:tcPr>
            <w:tcW w:w="4772" w:type="dxa"/>
            <w:shd w:val="clear" w:color="auto" w:fill="auto"/>
            <w:vAlign w:val="center"/>
          </w:tcPr>
          <w:p w14:paraId="78CC82E2" w14:textId="77777777" w:rsidR="000E5900" w:rsidRPr="0083082A" w:rsidRDefault="000E5900" w:rsidP="006E4BD6">
            <w:pPr>
              <w:spacing w:line="252" w:lineRule="auto"/>
              <w:rPr>
                <w:rFonts w:ascii="Calibri" w:hAnsi="Calibri" w:cs="Calibri"/>
              </w:rPr>
            </w:pPr>
            <w:r>
              <w:rPr>
                <w:rFonts w:ascii="Calibri" w:hAnsi="Calibri" w:cs="Calibri"/>
              </w:rPr>
              <w:t>March 12, 2024</w:t>
            </w:r>
          </w:p>
        </w:tc>
      </w:tr>
      <w:tr w:rsidR="000E5900" w:rsidRPr="0083082A" w14:paraId="0AD5CF15" w14:textId="77777777" w:rsidTr="006E4BD6">
        <w:trPr>
          <w:trHeight w:val="432"/>
        </w:trPr>
        <w:tc>
          <w:tcPr>
            <w:tcW w:w="4772" w:type="dxa"/>
            <w:shd w:val="clear" w:color="auto" w:fill="auto"/>
            <w:vAlign w:val="center"/>
          </w:tcPr>
          <w:p w14:paraId="3FCAE636" w14:textId="77777777" w:rsidR="000E5900" w:rsidRPr="0083082A" w:rsidRDefault="000E5900" w:rsidP="006E4BD6">
            <w:pPr>
              <w:spacing w:line="252" w:lineRule="auto"/>
              <w:rPr>
                <w:rFonts w:ascii="Calibri" w:hAnsi="Calibri" w:cs="Calibri"/>
              </w:rPr>
            </w:pPr>
            <w:r w:rsidRPr="0083082A">
              <w:rPr>
                <w:rFonts w:ascii="Calibri" w:hAnsi="Calibri" w:cs="Calibri"/>
              </w:rPr>
              <w:t>Adoption :</w:t>
            </w:r>
          </w:p>
        </w:tc>
        <w:tc>
          <w:tcPr>
            <w:tcW w:w="4772" w:type="dxa"/>
            <w:shd w:val="clear" w:color="auto" w:fill="auto"/>
            <w:vAlign w:val="center"/>
          </w:tcPr>
          <w:p w14:paraId="65EE879F" w14:textId="77777777" w:rsidR="000E5900" w:rsidRPr="0083082A" w:rsidRDefault="000E5900" w:rsidP="006E4BD6">
            <w:pPr>
              <w:spacing w:line="252" w:lineRule="auto"/>
              <w:rPr>
                <w:rFonts w:ascii="Calibri" w:hAnsi="Calibri" w:cs="Calibri"/>
              </w:rPr>
            </w:pPr>
            <w:r>
              <w:rPr>
                <w:rFonts w:ascii="Calibri" w:hAnsi="Calibri" w:cs="Calibri"/>
              </w:rPr>
              <w:t>March 14, 2024</w:t>
            </w:r>
          </w:p>
        </w:tc>
      </w:tr>
      <w:tr w:rsidR="000E5900" w:rsidRPr="0083082A" w14:paraId="40EE2370" w14:textId="77777777" w:rsidTr="006E4BD6">
        <w:trPr>
          <w:trHeight w:val="432"/>
        </w:trPr>
        <w:tc>
          <w:tcPr>
            <w:tcW w:w="4772" w:type="dxa"/>
            <w:shd w:val="clear" w:color="auto" w:fill="auto"/>
            <w:vAlign w:val="center"/>
          </w:tcPr>
          <w:p w14:paraId="477616D2" w14:textId="77777777" w:rsidR="000E5900" w:rsidRPr="0083082A" w:rsidRDefault="000E5900" w:rsidP="006E4BD6">
            <w:pPr>
              <w:spacing w:line="252" w:lineRule="auto"/>
              <w:rPr>
                <w:rFonts w:ascii="Calibri" w:hAnsi="Calibri" w:cs="Calibri"/>
              </w:rPr>
            </w:pPr>
            <w:r>
              <w:rPr>
                <w:rFonts w:ascii="Calibri" w:hAnsi="Calibri" w:cs="Calibri"/>
              </w:rPr>
              <w:t xml:space="preserve">Entry </w:t>
            </w:r>
            <w:proofErr w:type="spellStart"/>
            <w:r>
              <w:rPr>
                <w:rFonts w:ascii="Calibri" w:hAnsi="Calibri" w:cs="Calibri"/>
              </w:rPr>
              <w:t>into</w:t>
            </w:r>
            <w:proofErr w:type="spellEnd"/>
            <w:r>
              <w:rPr>
                <w:rFonts w:ascii="Calibri" w:hAnsi="Calibri" w:cs="Calibri"/>
              </w:rPr>
              <w:t xml:space="preserve"> force</w:t>
            </w:r>
            <w:r w:rsidRPr="0083082A">
              <w:rPr>
                <w:rFonts w:ascii="Calibri" w:hAnsi="Calibri" w:cs="Calibri"/>
              </w:rPr>
              <w:t> :</w:t>
            </w:r>
          </w:p>
        </w:tc>
        <w:tc>
          <w:tcPr>
            <w:tcW w:w="4772" w:type="dxa"/>
            <w:shd w:val="clear" w:color="auto" w:fill="auto"/>
            <w:vAlign w:val="center"/>
          </w:tcPr>
          <w:p w14:paraId="185646FD" w14:textId="77777777" w:rsidR="000E5900" w:rsidRPr="0083082A" w:rsidRDefault="000E5900" w:rsidP="006E4BD6">
            <w:pPr>
              <w:spacing w:line="252" w:lineRule="auto"/>
              <w:rPr>
                <w:rFonts w:ascii="Calibri" w:hAnsi="Calibri" w:cs="Calibri"/>
              </w:rPr>
            </w:pPr>
            <w:r>
              <w:rPr>
                <w:rFonts w:ascii="Calibri" w:hAnsi="Calibri" w:cs="Calibri"/>
              </w:rPr>
              <w:t>March 18, 2024</w:t>
            </w:r>
          </w:p>
        </w:tc>
      </w:tr>
    </w:tbl>
    <w:p w14:paraId="0AD25D20" w14:textId="77777777" w:rsidR="000E5900" w:rsidRPr="0083082A" w:rsidRDefault="000E5900" w:rsidP="000E5900">
      <w:pPr>
        <w:tabs>
          <w:tab w:val="left" w:pos="5670"/>
        </w:tabs>
        <w:spacing w:line="252" w:lineRule="auto"/>
        <w:rPr>
          <w:rFonts w:ascii="Calibri" w:hAnsi="Calibri" w:cs="Calibri"/>
        </w:rPr>
      </w:pPr>
      <w:r w:rsidRPr="0083082A">
        <w:rPr>
          <w:rFonts w:ascii="Calibri" w:hAnsi="Calibri" w:cs="Calibri"/>
        </w:rPr>
        <w:tab/>
      </w:r>
    </w:p>
    <w:p w14:paraId="434B5B82" w14:textId="77777777" w:rsidR="000E5900" w:rsidRPr="0083082A" w:rsidRDefault="000E5900" w:rsidP="000E5900">
      <w:pPr>
        <w:tabs>
          <w:tab w:val="left" w:pos="5670"/>
        </w:tabs>
        <w:spacing w:line="252" w:lineRule="auto"/>
        <w:rPr>
          <w:rFonts w:ascii="Calibri" w:hAnsi="Calibri" w:cs="Calibri"/>
        </w:rPr>
      </w:pPr>
    </w:p>
    <w:p w14:paraId="3D025D9F" w14:textId="77777777" w:rsidR="000E5900" w:rsidRPr="00150875" w:rsidRDefault="000E5900" w:rsidP="000E5900">
      <w:pPr>
        <w:tabs>
          <w:tab w:val="left" w:pos="4536"/>
        </w:tabs>
        <w:spacing w:line="276" w:lineRule="auto"/>
        <w:rPr>
          <w:rFonts w:asciiTheme="minorHAnsi" w:eastAsia="Times" w:hAnsiTheme="minorHAnsi" w:cstheme="minorHAnsi"/>
        </w:rPr>
      </w:pPr>
    </w:p>
    <w:p w14:paraId="2A1FB01F" w14:textId="77777777" w:rsidR="000C0020" w:rsidRPr="000C0020" w:rsidRDefault="000C0020" w:rsidP="000C7A12">
      <w:pPr>
        <w:tabs>
          <w:tab w:val="left" w:pos="2272"/>
          <w:tab w:val="left" w:pos="2992"/>
        </w:tabs>
        <w:spacing w:before="1" w:line="276" w:lineRule="auto"/>
        <w:ind w:right="6194"/>
        <w:rPr>
          <w:rFonts w:asciiTheme="minorHAnsi" w:hAnsiTheme="minorHAnsi" w:cstheme="minorHAnsi"/>
          <w:bCs/>
        </w:rPr>
      </w:pPr>
    </w:p>
    <w:sectPr w:rsidR="000C0020" w:rsidRPr="000C0020" w:rsidSect="00510EDB">
      <w:pgSz w:w="12240" w:h="20160" w:code="5"/>
      <w:pgMar w:top="1418" w:right="1418" w:bottom="1418" w:left="141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E05"/>
    <w:rsid w:val="000C0020"/>
    <w:rsid w:val="000C5964"/>
    <w:rsid w:val="000C7A12"/>
    <w:rsid w:val="000E5900"/>
    <w:rsid w:val="001A332B"/>
    <w:rsid w:val="001F6D54"/>
    <w:rsid w:val="00320DDA"/>
    <w:rsid w:val="0032440A"/>
    <w:rsid w:val="003432E5"/>
    <w:rsid w:val="00393E80"/>
    <w:rsid w:val="003C6B95"/>
    <w:rsid w:val="0046261B"/>
    <w:rsid w:val="00510EDB"/>
    <w:rsid w:val="00525240"/>
    <w:rsid w:val="005C45D7"/>
    <w:rsid w:val="00620B06"/>
    <w:rsid w:val="006D6E05"/>
    <w:rsid w:val="00731838"/>
    <w:rsid w:val="00931E35"/>
    <w:rsid w:val="009778C3"/>
    <w:rsid w:val="00A76848"/>
    <w:rsid w:val="00AE1E3D"/>
    <w:rsid w:val="00CA54CD"/>
    <w:rsid w:val="00CC1874"/>
    <w:rsid w:val="00D707EF"/>
    <w:rsid w:val="00EC4190"/>
    <w:rsid w:val="00FB773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C71A2"/>
  <w15:docId w15:val="{90306956-5BEB-4AC8-B385-8C5A28C19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fr-FR"/>
    </w:rPr>
  </w:style>
  <w:style w:type="paragraph" w:styleId="Titre1">
    <w:name w:val="heading 1"/>
    <w:basedOn w:val="Normal"/>
    <w:uiPriority w:val="9"/>
    <w:qFormat/>
    <w:pPr>
      <w:ind w:left="1528"/>
      <w:outlineLvl w:val="0"/>
    </w:pPr>
    <w:rPr>
      <w:b/>
      <w:bCs/>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customStyle="1" w:styleId="CorpsdetexteCar">
    <w:name w:val="Corps de texte Car"/>
    <w:basedOn w:val="Policepardfaut"/>
    <w:link w:val="Corpsdetexte"/>
    <w:uiPriority w:val="1"/>
    <w:rsid w:val="000E5900"/>
    <w:rPr>
      <w:rFonts w:ascii="Times New Roman" w:eastAsia="Times New Roman" w:hAnsi="Times New Roman"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413</Words>
  <Characters>2273</Characters>
  <Application>Microsoft Office Word</Application>
  <DocSecurity>0</DocSecurity>
  <Lines>18</Lines>
  <Paragraphs>5</Paragraphs>
  <ScaleCrop>false</ScaleCrop>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dc:creator>
  <cp:lastModifiedBy>Louise Poulin</cp:lastModifiedBy>
  <cp:revision>15</cp:revision>
  <dcterms:created xsi:type="dcterms:W3CDTF">2024-03-13T18:33:00Z</dcterms:created>
  <dcterms:modified xsi:type="dcterms:W3CDTF">2024-03-13T19:09:00Z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2022-12-13T00:00:00Z</vt:filetime>
  </property>
  <property fmtid="{D5CDD505-2E9C-101B-9397-08002B2CF9AE}" pid="3" name="Creator">
    <vt:lpwstr>Microsoft® Word pour Microsoft 365</vt:lpwstr>
  </property>
  <property fmtid="{D5CDD505-2E9C-101B-9397-08002B2CF9AE}" pid="4" name="LastSaved">
    <vt:filetime>2024-03-11T00:00:00Z</vt:filetime>
  </property>
  <property fmtid="{D5CDD505-2E9C-101B-9397-08002B2CF9AE}" pid="5" name="Producer">
    <vt:lpwstr>Microsoft® Word pour Microsoft 365</vt:lpwstr>
  </property>
</Properties>
</file>